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442" w:firstLineChars="100"/>
        <w:jc w:val="both"/>
        <w:textAlignment w:val="auto"/>
        <w:rPr>
          <w:rFonts w:cs="Times New Roman" w:asciiTheme="majorEastAsia" w:hAnsiTheme="majorEastAsia" w:eastAsiaTheme="majorEastAsia"/>
          <w:b/>
          <w:bCs/>
          <w:color w:val="000000" w:themeColor="text1"/>
          <w:sz w:val="44"/>
          <w:szCs w:val="44"/>
          <w14:textFill>
            <w14:solidFill>
              <w14:schemeClr w14:val="tx1"/>
            </w14:solidFill>
          </w14:textFill>
        </w:rPr>
      </w:pPr>
      <w:r>
        <w:rPr>
          <w:rFonts w:hint="eastAsia" w:cs="Times New Roman" w:asciiTheme="majorEastAsia" w:hAnsiTheme="majorEastAsia" w:eastAsiaTheme="majorEastAsia"/>
          <w:b/>
          <w:bCs/>
          <w:color w:val="000000" w:themeColor="text1"/>
          <w:sz w:val="44"/>
          <w:szCs w:val="44"/>
          <w14:textFill>
            <w14:solidFill>
              <w14:schemeClr w14:val="tx1"/>
            </w14:solidFill>
          </w14:textFill>
        </w:rPr>
        <w:t>金华市数字政府建设“十四五”规划</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cs="Times New Roman"/>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前</w:t>
      </w:r>
      <w:r>
        <w:rPr>
          <w:rFonts w:hint="eastAsia" w:ascii="Times New Roman" w:hAnsi="Times New Roman" w:eastAsia="方正小标宋简体" w:cs="Times New Roman"/>
          <w:bCs/>
          <w:color w:val="000000" w:themeColor="text1"/>
          <w:sz w:val="44"/>
          <w:szCs w:val="44"/>
          <w14:textFill>
            <w14:solidFill>
              <w14:schemeClr w14:val="tx1"/>
            </w14:solidFill>
          </w14:textFill>
        </w:rPr>
        <w:t xml:space="preserve"> </w:t>
      </w:r>
      <w:r>
        <w:rPr>
          <w:rFonts w:ascii="Times New Roman" w:hAnsi="Times New Roman" w:eastAsia="方正小标宋简体" w:cs="Times New Roman"/>
          <w:bCs/>
          <w:color w:val="000000" w:themeColor="text1"/>
          <w:sz w:val="44"/>
          <w:szCs w:val="44"/>
          <w14:textFill>
            <w14:solidFill>
              <w14:schemeClr w14:val="tx1"/>
            </w14:solidFill>
          </w14:textFill>
        </w:rPr>
        <w:t>言</w:t>
      </w:r>
    </w:p>
    <w:p>
      <w:pPr>
        <w:spacing w:line="72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p>
    <w:p>
      <w:pPr>
        <w:spacing w:line="600"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hint="eastAsia" w:ascii="Times New Roman" w:hAnsi="Times New Roman" w:eastAsia="仿宋_GB2312" w:cs="Times New Roman"/>
          <w:color w:val="000000" w:themeColor="text1"/>
          <w:sz w:val="32"/>
          <w:szCs w:val="24"/>
          <w14:textFill>
            <w14:solidFill>
              <w14:schemeClr w14:val="tx1"/>
            </w14:solidFill>
          </w14:textFill>
        </w:rPr>
        <w:t>为深入贯彻落实党的十九大关于建设网络强国、数字中国、智慧社会的战略部署，落实省市数</w:t>
      </w:r>
      <w:bookmarkStart w:id="42" w:name="_GoBack"/>
      <w:bookmarkEnd w:id="42"/>
      <w:r>
        <w:rPr>
          <w:rFonts w:hint="eastAsia" w:ascii="Times New Roman" w:hAnsi="Times New Roman" w:eastAsia="仿宋_GB2312" w:cs="Times New Roman"/>
          <w:color w:val="000000" w:themeColor="text1"/>
          <w:sz w:val="32"/>
          <w:szCs w:val="24"/>
          <w14:textFill>
            <w14:solidFill>
              <w14:schemeClr w14:val="tx1"/>
            </w14:solidFill>
          </w14:textFill>
        </w:rPr>
        <w:t>字化改革的相关工作要求，进一步加快“整体智治、唯实惟先”的现代政府建设，</w:t>
      </w:r>
      <w:r>
        <w:rPr>
          <w:rFonts w:ascii="Times New Roman" w:hAnsi="Times New Roman" w:eastAsia="仿宋_GB2312" w:cs="Times New Roman"/>
          <w:color w:val="000000" w:themeColor="text1"/>
          <w:sz w:val="32"/>
          <w:szCs w:val="24"/>
          <w14:textFill>
            <w14:solidFill>
              <w14:schemeClr w14:val="tx1"/>
            </w14:solidFill>
          </w14:textFill>
        </w:rPr>
        <w:t>根据市</w:t>
      </w:r>
      <w:r>
        <w:rPr>
          <w:rFonts w:hint="eastAsia" w:ascii="Times New Roman" w:hAnsi="Times New Roman" w:eastAsia="仿宋_GB2312" w:cs="Times New Roman"/>
          <w:color w:val="000000" w:themeColor="text1"/>
          <w:sz w:val="32"/>
          <w:szCs w:val="24"/>
          <w14:textFill>
            <w14:solidFill>
              <w14:schemeClr w14:val="tx1"/>
            </w14:solidFill>
          </w14:textFill>
        </w:rPr>
        <w:t>“十四五”规划编制相关要求，编制《金华市数字政府建设“十四五”规划》。</w:t>
      </w:r>
    </w:p>
    <w:p>
      <w:pPr>
        <w:spacing w:line="600"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hint="eastAsia" w:ascii="Times New Roman" w:hAnsi="Times New Roman" w:eastAsia="仿宋_GB2312" w:cs="Times New Roman"/>
          <w:color w:val="000000" w:themeColor="text1"/>
          <w:sz w:val="32"/>
          <w:szCs w:val="24"/>
          <w14:textFill>
            <w14:solidFill>
              <w14:schemeClr w14:val="tx1"/>
            </w14:solidFill>
          </w14:textFill>
        </w:rPr>
        <w:t>本规划全面承接浙江省数字政府建设“十四五”规划，本规划中“数字政府” 涵盖数字化改革文件中的数字政府、数字社会两大系统内容，以及党政机关整体智治、数字经济、数字法治三大系统中与政府管理和服务相关的若干条跑道内容。规划所提出的重点建设项目目标、工作任务等与数字化改革方案衔接，并以数字化改革的相关内容为基础，结合数字政府建设总体需求和各委办局具体需求，梳理形成“十四五”期间金华市数字政府的重点建设项目清单。</w:t>
      </w:r>
    </w:p>
    <w:p>
      <w:pPr>
        <w:spacing w:line="600"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hint="eastAsia" w:ascii="Times New Roman" w:hAnsi="Times New Roman" w:eastAsia="仿宋_GB2312" w:cs="Times New Roman"/>
          <w:color w:val="000000" w:themeColor="text1"/>
          <w:sz w:val="32"/>
          <w:szCs w:val="24"/>
          <w14:textFill>
            <w14:solidFill>
              <w14:schemeClr w14:val="tx1"/>
            </w14:solidFill>
          </w14:textFill>
        </w:rPr>
        <w:t>本规划是“十四五”时期指导金华市数字政府建设的纲领性文件，规划期限为2021-2025年。</w:t>
      </w:r>
    </w:p>
    <w:p>
      <w:pPr>
        <w:widowControl/>
        <w:jc w:val="left"/>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br w:type="page"/>
      </w:r>
      <w:r>
        <w:rPr>
          <w:rFonts w:ascii="Times New Roman" w:hAnsi="Times New Roman" w:eastAsia="仿宋_GB2312" w:cs="Times New Roman"/>
          <w:color w:val="000000" w:themeColor="text1"/>
          <w:sz w:val="32"/>
          <w:szCs w:val="24"/>
          <w14:textFill>
            <w14:solidFill>
              <w14:schemeClr w14:val="tx1"/>
            </w14:solidFill>
          </w14:textFill>
        </w:rPr>
        <w:br w:type="page"/>
      </w:r>
    </w:p>
    <w:p>
      <w:pPr>
        <w:widowControl/>
        <w:jc w:val="left"/>
        <w:rPr>
          <w:rFonts w:ascii="Times New Roman" w:hAnsi="Times New Roman" w:eastAsia="仿宋_GB2312" w:cs="Times New Roman"/>
          <w:color w:val="000000" w:themeColor="text1"/>
          <w:sz w:val="32"/>
          <w:szCs w:val="24"/>
          <w14:textFill>
            <w14:solidFill>
              <w14:schemeClr w14:val="tx1"/>
            </w14:solidFill>
          </w14:textFill>
        </w:rPr>
      </w:pPr>
    </w:p>
    <w:sdt>
      <w:sdtPr>
        <w:rPr>
          <w:rFonts w:asciiTheme="minorHAnsi" w:hAnsiTheme="minorHAnsi" w:eastAsiaTheme="minorEastAsia" w:cstheme="minorBidi"/>
          <w:color w:val="000000" w:themeColor="text1"/>
          <w:kern w:val="2"/>
          <w:sz w:val="21"/>
          <w:szCs w:val="22"/>
          <w:lang w:val="zh-CN"/>
          <w14:textFill>
            <w14:solidFill>
              <w14:schemeClr w14:val="tx1"/>
            </w14:solidFill>
          </w14:textFill>
        </w:rPr>
        <w:id w:val="-777261363"/>
        <w:docPartObj>
          <w:docPartGallery w:val="Table of Contents"/>
          <w:docPartUnique/>
        </w:docPartObj>
      </w:sdtPr>
      <w:sdtEndPr>
        <w:rPr>
          <w:rFonts w:asciiTheme="minorHAnsi" w:hAnsiTheme="minorHAnsi" w:eastAsiaTheme="minorEastAsia" w:cstheme="minorBidi"/>
          <w:b/>
          <w:bCs/>
          <w:color w:val="000000" w:themeColor="text1"/>
          <w:kern w:val="2"/>
          <w:sz w:val="21"/>
          <w:szCs w:val="22"/>
          <w:lang w:val="zh-CN"/>
          <w14:textFill>
            <w14:solidFill>
              <w14:schemeClr w14:val="tx1"/>
            </w14:solidFill>
          </w14:textFill>
        </w:rPr>
      </w:sdtEndPr>
      <w:sdtContent>
        <w:p>
          <w:pPr>
            <w:pStyle w:val="35"/>
            <w:jc w:val="center"/>
            <w:rPr>
              <w:b/>
              <w:color w:val="000000" w:themeColor="text1"/>
              <w:lang w:val="zh-CN"/>
              <w14:textFill>
                <w14:solidFill>
                  <w14:schemeClr w14:val="tx1"/>
                </w14:solidFill>
              </w14:textFill>
            </w:rPr>
          </w:pPr>
          <w:r>
            <w:rPr>
              <w:b/>
              <w:color w:val="000000" w:themeColor="text1"/>
              <w:lang w:val="zh-CN"/>
              <w14:textFill>
                <w14:solidFill>
                  <w14:schemeClr w14:val="tx1"/>
                </w14:solidFill>
              </w14:textFill>
            </w:rPr>
            <w:t>目</w:t>
          </w:r>
          <w:r>
            <w:rPr>
              <w:rFonts w:hint="eastAsia"/>
              <w:b/>
              <w:color w:val="000000" w:themeColor="text1"/>
              <w:lang w:val="zh-CN"/>
              <w14:textFill>
                <w14:solidFill>
                  <w14:schemeClr w14:val="tx1"/>
                </w14:solidFill>
              </w14:textFill>
            </w:rPr>
            <w:t xml:space="preserve"> </w:t>
          </w:r>
          <w:r>
            <w:rPr>
              <w:b/>
              <w:color w:val="000000" w:themeColor="text1"/>
              <w:lang w:val="zh-CN"/>
              <w14:textFill>
                <w14:solidFill>
                  <w14:schemeClr w14:val="tx1"/>
                </w14:solidFill>
              </w14:textFill>
            </w:rPr>
            <w:t xml:space="preserve">   录</w:t>
          </w:r>
        </w:p>
        <w:p>
          <w:pPr>
            <w:rPr>
              <w:color w:val="000000" w:themeColor="text1"/>
              <w:lang w:val="zh-CN"/>
              <w14:textFill>
                <w14:solidFill>
                  <w14:schemeClr w14:val="tx1"/>
                </w14:solidFill>
              </w14:textFill>
            </w:rPr>
          </w:pPr>
        </w:p>
        <w:p>
          <w:pPr>
            <w:pStyle w:val="11"/>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"_Toc84600818" </w:instrText>
          </w:r>
          <w:r>
            <w:fldChar w:fldCharType="separate"/>
          </w:r>
          <w:r>
            <w:rPr>
              <w:rStyle w:val="18"/>
              <w:rFonts w:hint="eastAsia"/>
            </w:rPr>
            <w:t>一、建设背景</w:t>
          </w:r>
          <w:r>
            <w:tab/>
          </w:r>
          <w:r>
            <w:fldChar w:fldCharType="begin"/>
          </w:r>
          <w:r>
            <w:instrText xml:space="preserve"> PAGEREF _Toc84600818 \h </w:instrText>
          </w:r>
          <w:r>
            <w:fldChar w:fldCharType="separate"/>
          </w:r>
          <w:r>
            <w:t>1</w:t>
          </w:r>
          <w:r>
            <w:fldChar w:fldCharType="end"/>
          </w:r>
          <w:r>
            <w:fldChar w:fldCharType="end"/>
          </w:r>
        </w:p>
        <w:p>
          <w:pPr>
            <w:pStyle w:val="12"/>
          </w:pPr>
          <w:r>
            <w:fldChar w:fldCharType="begin"/>
          </w:r>
          <w:r>
            <w:instrText xml:space="preserve"> HYPERLINK \l "_Toc84600819" </w:instrText>
          </w:r>
          <w:r>
            <w:fldChar w:fldCharType="separate"/>
          </w:r>
          <w:r>
            <w:rPr>
              <w:rStyle w:val="18"/>
              <w:rFonts w:hint="eastAsia" w:ascii="楷体" w:hAnsi="楷体"/>
            </w:rPr>
            <w:t>（一）发展形势</w:t>
          </w:r>
          <w:r>
            <w:tab/>
          </w:r>
          <w:r>
            <w:fldChar w:fldCharType="begin"/>
          </w:r>
          <w:r>
            <w:instrText xml:space="preserve"> PAGEREF _Toc84600819 \h </w:instrText>
          </w:r>
          <w:r>
            <w:fldChar w:fldCharType="separate"/>
          </w:r>
          <w:r>
            <w:t>1</w:t>
          </w:r>
          <w:r>
            <w:fldChar w:fldCharType="end"/>
          </w:r>
          <w:r>
            <w:fldChar w:fldCharType="end"/>
          </w:r>
        </w:p>
        <w:p>
          <w:pPr>
            <w:pStyle w:val="12"/>
          </w:pPr>
          <w:r>
            <w:fldChar w:fldCharType="begin"/>
          </w:r>
          <w:r>
            <w:instrText xml:space="preserve"> HYPERLINK \l "_Toc84600820" </w:instrText>
          </w:r>
          <w:r>
            <w:fldChar w:fldCharType="separate"/>
          </w:r>
          <w:r>
            <w:rPr>
              <w:rStyle w:val="18"/>
              <w:rFonts w:hint="eastAsia" w:ascii="楷体" w:hAnsi="楷体"/>
            </w:rPr>
            <w:t>（二）现实基础</w:t>
          </w:r>
          <w:r>
            <w:tab/>
          </w:r>
          <w:r>
            <w:fldChar w:fldCharType="begin"/>
          </w:r>
          <w:r>
            <w:instrText xml:space="preserve"> PAGEREF _Toc84600820 \h </w:instrText>
          </w:r>
          <w:r>
            <w:fldChar w:fldCharType="separate"/>
          </w:r>
          <w:r>
            <w:t>3</w:t>
          </w:r>
          <w:r>
            <w:fldChar w:fldCharType="end"/>
          </w:r>
          <w:r>
            <w:fldChar w:fldCharType="end"/>
          </w:r>
        </w:p>
        <w:p>
          <w:pPr>
            <w:pStyle w:val="12"/>
          </w:pPr>
          <w:r>
            <w:fldChar w:fldCharType="begin"/>
          </w:r>
          <w:r>
            <w:instrText xml:space="preserve"> HYPERLINK \l "_Toc84600821" </w:instrText>
          </w:r>
          <w:r>
            <w:fldChar w:fldCharType="separate"/>
          </w:r>
          <w:r>
            <w:rPr>
              <w:rStyle w:val="18"/>
              <w:rFonts w:hint="eastAsia" w:ascii="楷体" w:hAnsi="楷体"/>
            </w:rPr>
            <w:t>（三）主要问题</w:t>
          </w:r>
          <w:r>
            <w:tab/>
          </w:r>
          <w:r>
            <w:fldChar w:fldCharType="begin"/>
          </w:r>
          <w:r>
            <w:instrText xml:space="preserve"> PAGEREF _Toc84600821 \h </w:instrText>
          </w:r>
          <w:r>
            <w:fldChar w:fldCharType="separate"/>
          </w:r>
          <w:r>
            <w:t>5</w:t>
          </w:r>
          <w:r>
            <w:fldChar w:fldCharType="end"/>
          </w:r>
          <w:r>
            <w:fldChar w:fldCharType="end"/>
          </w:r>
        </w:p>
        <w:p>
          <w:pPr>
            <w:pStyle w:val="11"/>
          </w:pPr>
          <w:r>
            <w:fldChar w:fldCharType="begin"/>
          </w:r>
          <w:r>
            <w:instrText xml:space="preserve"> HYPERLINK \l "_Toc84600822" </w:instrText>
          </w:r>
          <w:r>
            <w:fldChar w:fldCharType="separate"/>
          </w:r>
          <w:r>
            <w:rPr>
              <w:rStyle w:val="18"/>
              <w:rFonts w:hint="eastAsia"/>
            </w:rPr>
            <w:t>二、总体要求</w:t>
          </w:r>
          <w:r>
            <w:tab/>
          </w:r>
          <w:r>
            <w:fldChar w:fldCharType="begin"/>
          </w:r>
          <w:r>
            <w:instrText xml:space="preserve"> PAGEREF _Toc84600822 \h </w:instrText>
          </w:r>
          <w:r>
            <w:fldChar w:fldCharType="separate"/>
          </w:r>
          <w:r>
            <w:t>6</w:t>
          </w:r>
          <w:r>
            <w:fldChar w:fldCharType="end"/>
          </w:r>
          <w:r>
            <w:fldChar w:fldCharType="end"/>
          </w:r>
        </w:p>
        <w:p>
          <w:pPr>
            <w:pStyle w:val="12"/>
          </w:pPr>
          <w:r>
            <w:fldChar w:fldCharType="begin"/>
          </w:r>
          <w:r>
            <w:instrText xml:space="preserve"> HYPERLINK \l "_Toc84600823" </w:instrText>
          </w:r>
          <w:r>
            <w:fldChar w:fldCharType="separate"/>
          </w:r>
          <w:r>
            <w:rPr>
              <w:rStyle w:val="18"/>
              <w:rFonts w:hint="eastAsia" w:ascii="楷体" w:hAnsi="楷体"/>
            </w:rPr>
            <w:t>（一）指导思想</w:t>
          </w:r>
          <w:r>
            <w:tab/>
          </w:r>
          <w:r>
            <w:fldChar w:fldCharType="begin"/>
          </w:r>
          <w:r>
            <w:instrText xml:space="preserve"> PAGEREF _Toc84600823 \h </w:instrText>
          </w:r>
          <w:r>
            <w:fldChar w:fldCharType="separate"/>
          </w:r>
          <w:r>
            <w:t>6</w:t>
          </w:r>
          <w:r>
            <w:fldChar w:fldCharType="end"/>
          </w:r>
          <w:r>
            <w:fldChar w:fldCharType="end"/>
          </w:r>
        </w:p>
        <w:p>
          <w:pPr>
            <w:pStyle w:val="12"/>
          </w:pPr>
          <w:r>
            <w:fldChar w:fldCharType="begin"/>
          </w:r>
          <w:r>
            <w:instrText xml:space="preserve"> HYPERLINK \l "_Toc84600824" </w:instrText>
          </w:r>
          <w:r>
            <w:fldChar w:fldCharType="separate"/>
          </w:r>
          <w:r>
            <w:rPr>
              <w:rStyle w:val="18"/>
              <w:rFonts w:hint="eastAsia" w:ascii="楷体" w:hAnsi="楷体"/>
            </w:rPr>
            <w:t>（二）基本原则</w:t>
          </w:r>
          <w:r>
            <w:tab/>
          </w:r>
          <w:r>
            <w:fldChar w:fldCharType="begin"/>
          </w:r>
          <w:r>
            <w:instrText xml:space="preserve"> PAGEREF _Toc84600824 \h </w:instrText>
          </w:r>
          <w:r>
            <w:fldChar w:fldCharType="separate"/>
          </w:r>
          <w:r>
            <w:t>7</w:t>
          </w:r>
          <w:r>
            <w:fldChar w:fldCharType="end"/>
          </w:r>
          <w:r>
            <w:fldChar w:fldCharType="end"/>
          </w:r>
        </w:p>
        <w:p>
          <w:pPr>
            <w:pStyle w:val="12"/>
          </w:pPr>
          <w:r>
            <w:fldChar w:fldCharType="begin"/>
          </w:r>
          <w:r>
            <w:instrText xml:space="preserve"> HYPERLINK \l "_Toc84600825" </w:instrText>
          </w:r>
          <w:r>
            <w:fldChar w:fldCharType="separate"/>
          </w:r>
          <w:r>
            <w:rPr>
              <w:rStyle w:val="18"/>
              <w:rFonts w:hint="eastAsia" w:ascii="楷体" w:hAnsi="楷体"/>
            </w:rPr>
            <w:t>（三）发展目标</w:t>
          </w:r>
          <w:r>
            <w:tab/>
          </w:r>
          <w:r>
            <w:fldChar w:fldCharType="begin"/>
          </w:r>
          <w:r>
            <w:instrText xml:space="preserve"> PAGEREF _Toc84600825 \h </w:instrText>
          </w:r>
          <w:r>
            <w:fldChar w:fldCharType="separate"/>
          </w:r>
          <w:r>
            <w:t>8</w:t>
          </w:r>
          <w:r>
            <w:fldChar w:fldCharType="end"/>
          </w:r>
          <w:r>
            <w:fldChar w:fldCharType="end"/>
          </w:r>
        </w:p>
        <w:p>
          <w:pPr>
            <w:pStyle w:val="11"/>
          </w:pPr>
          <w:r>
            <w:fldChar w:fldCharType="begin"/>
          </w:r>
          <w:r>
            <w:instrText xml:space="preserve"> HYPERLINK \l "_Toc84600826" </w:instrText>
          </w:r>
          <w:r>
            <w:fldChar w:fldCharType="separate"/>
          </w:r>
          <w:r>
            <w:rPr>
              <w:rStyle w:val="18"/>
              <w:rFonts w:hint="eastAsia"/>
            </w:rPr>
            <w:t>三、建立融合共享的政府运行体系</w:t>
          </w:r>
          <w:r>
            <w:tab/>
          </w:r>
          <w:r>
            <w:fldChar w:fldCharType="begin"/>
          </w:r>
          <w:r>
            <w:instrText xml:space="preserve"> PAGEREF _Toc84600826 \h </w:instrText>
          </w:r>
          <w:r>
            <w:fldChar w:fldCharType="separate"/>
          </w:r>
          <w:r>
            <w:t>8</w:t>
          </w:r>
          <w:r>
            <w:fldChar w:fldCharType="end"/>
          </w:r>
          <w:r>
            <w:fldChar w:fldCharType="end"/>
          </w:r>
        </w:p>
        <w:p>
          <w:pPr>
            <w:pStyle w:val="12"/>
            <w:tabs>
              <w:tab w:val="clear" w:pos="1470"/>
            </w:tabs>
          </w:pPr>
          <w:r>
            <w:fldChar w:fldCharType="begin"/>
          </w:r>
          <w:r>
            <w:instrText xml:space="preserve"> HYPERLINK \l "_Toc84600827" </w:instrText>
          </w:r>
          <w:r>
            <w:fldChar w:fldCharType="separate"/>
          </w:r>
          <w:r>
            <w:rPr>
              <w:rStyle w:val="18"/>
              <w:rFonts w:hint="eastAsia" w:ascii="楷体" w:hAnsi="楷体"/>
            </w:rPr>
            <w:t>（一）推进政府运行高效协同</w:t>
          </w:r>
          <w:r>
            <w:tab/>
          </w:r>
          <w:r>
            <w:fldChar w:fldCharType="begin"/>
          </w:r>
          <w:r>
            <w:instrText xml:space="preserve"> PAGEREF _Toc84600827 \h </w:instrText>
          </w:r>
          <w:r>
            <w:fldChar w:fldCharType="separate"/>
          </w:r>
          <w:r>
            <w:t>8</w:t>
          </w:r>
          <w:r>
            <w:fldChar w:fldCharType="end"/>
          </w:r>
          <w:r>
            <w:fldChar w:fldCharType="end"/>
          </w:r>
        </w:p>
        <w:p>
          <w:pPr>
            <w:pStyle w:val="12"/>
          </w:pPr>
          <w:r>
            <w:fldChar w:fldCharType="begin"/>
          </w:r>
          <w:r>
            <w:instrText xml:space="preserve"> HYPERLINK \l "_Toc84600828" </w:instrText>
          </w:r>
          <w:r>
            <w:fldChar w:fldCharType="separate"/>
          </w:r>
          <w:r>
            <w:rPr>
              <w:rStyle w:val="18"/>
              <w:rFonts w:hint="eastAsia" w:ascii="楷体" w:hAnsi="楷体"/>
            </w:rPr>
            <w:t>（二）提高决策科学精准水平</w:t>
          </w:r>
          <w:r>
            <w:tab/>
          </w:r>
          <w:r>
            <w:fldChar w:fldCharType="begin"/>
          </w:r>
          <w:r>
            <w:instrText xml:space="preserve"> PAGEREF _Toc84600828 \h </w:instrText>
          </w:r>
          <w:r>
            <w:fldChar w:fldCharType="separate"/>
          </w:r>
          <w:r>
            <w:t>9</w:t>
          </w:r>
          <w:r>
            <w:fldChar w:fldCharType="end"/>
          </w:r>
          <w:r>
            <w:fldChar w:fldCharType="end"/>
          </w:r>
        </w:p>
        <w:p>
          <w:pPr>
            <w:pStyle w:val="11"/>
          </w:pPr>
          <w:r>
            <w:fldChar w:fldCharType="begin"/>
          </w:r>
          <w:r>
            <w:instrText xml:space="preserve"> HYPERLINK \l "_Toc84600829" </w:instrText>
          </w:r>
          <w:r>
            <w:fldChar w:fldCharType="separate"/>
          </w:r>
          <w:r>
            <w:rPr>
              <w:rStyle w:val="18"/>
              <w:rFonts w:hint="eastAsia"/>
            </w:rPr>
            <w:t>四、打造优质便捷的政府服务体系</w:t>
          </w:r>
          <w:r>
            <w:tab/>
          </w:r>
          <w:r>
            <w:fldChar w:fldCharType="begin"/>
          </w:r>
          <w:r>
            <w:instrText xml:space="preserve"> PAGEREF _Toc84600829 \h </w:instrText>
          </w:r>
          <w:r>
            <w:fldChar w:fldCharType="separate"/>
          </w:r>
          <w:r>
            <w:t>10</w:t>
          </w:r>
          <w:r>
            <w:fldChar w:fldCharType="end"/>
          </w:r>
          <w:r>
            <w:fldChar w:fldCharType="end"/>
          </w:r>
        </w:p>
        <w:p>
          <w:pPr>
            <w:pStyle w:val="12"/>
          </w:pPr>
          <w:r>
            <w:fldChar w:fldCharType="begin"/>
          </w:r>
          <w:r>
            <w:instrText xml:space="preserve"> HYPERLINK \l "_Toc84600830" </w:instrText>
          </w:r>
          <w:r>
            <w:fldChar w:fldCharType="separate"/>
          </w:r>
          <w:r>
            <w:rPr>
              <w:rStyle w:val="18"/>
              <w:rFonts w:hint="eastAsia" w:ascii="楷体" w:hAnsi="楷体"/>
            </w:rPr>
            <w:t>（一）推进政务服务便捷智能</w:t>
          </w:r>
          <w:r>
            <w:tab/>
          </w:r>
          <w:r>
            <w:fldChar w:fldCharType="begin"/>
          </w:r>
          <w:r>
            <w:instrText xml:space="preserve"> PAGEREF _Toc84600830 \h </w:instrText>
          </w:r>
          <w:r>
            <w:fldChar w:fldCharType="separate"/>
          </w:r>
          <w:r>
            <w:t>10</w:t>
          </w:r>
          <w:r>
            <w:fldChar w:fldCharType="end"/>
          </w:r>
          <w:r>
            <w:fldChar w:fldCharType="end"/>
          </w:r>
        </w:p>
        <w:p>
          <w:pPr>
            <w:pStyle w:val="12"/>
          </w:pPr>
          <w:r>
            <w:fldChar w:fldCharType="begin"/>
          </w:r>
          <w:r>
            <w:instrText xml:space="preserve"> HYPERLINK \l "_Toc84600831" </w:instrText>
          </w:r>
          <w:r>
            <w:fldChar w:fldCharType="separate"/>
          </w:r>
          <w:r>
            <w:rPr>
              <w:rStyle w:val="18"/>
              <w:rFonts w:hint="eastAsia" w:ascii="楷体" w:hAnsi="楷体"/>
            </w:rPr>
            <w:t>（二）推动营商环境优化提升</w:t>
          </w:r>
          <w:r>
            <w:tab/>
          </w:r>
          <w:r>
            <w:fldChar w:fldCharType="begin"/>
          </w:r>
          <w:r>
            <w:instrText xml:space="preserve"> PAGEREF _Toc84600831 \h </w:instrText>
          </w:r>
          <w:r>
            <w:fldChar w:fldCharType="separate"/>
          </w:r>
          <w:r>
            <w:t>11</w:t>
          </w:r>
          <w:r>
            <w:fldChar w:fldCharType="end"/>
          </w:r>
          <w:r>
            <w:fldChar w:fldCharType="end"/>
          </w:r>
        </w:p>
        <w:p>
          <w:pPr>
            <w:pStyle w:val="12"/>
          </w:pPr>
          <w:r>
            <w:fldChar w:fldCharType="begin"/>
          </w:r>
          <w:r>
            <w:instrText xml:space="preserve"> HYPERLINK \l "_Toc84600832" </w:instrText>
          </w:r>
          <w:r>
            <w:fldChar w:fldCharType="separate"/>
          </w:r>
          <w:r>
            <w:rPr>
              <w:rStyle w:val="18"/>
              <w:rFonts w:hint="eastAsia" w:ascii="楷体" w:hAnsi="楷体"/>
            </w:rPr>
            <w:t>（三）促进公共服务高效优质</w:t>
          </w:r>
          <w:r>
            <w:tab/>
          </w:r>
          <w:r>
            <w:fldChar w:fldCharType="begin"/>
          </w:r>
          <w:r>
            <w:instrText xml:space="preserve"> PAGEREF _Toc84600832 \h </w:instrText>
          </w:r>
          <w:r>
            <w:fldChar w:fldCharType="separate"/>
          </w:r>
          <w:r>
            <w:t>12</w:t>
          </w:r>
          <w:r>
            <w:fldChar w:fldCharType="end"/>
          </w:r>
          <w:r>
            <w:fldChar w:fldCharType="end"/>
          </w:r>
        </w:p>
        <w:p>
          <w:pPr>
            <w:pStyle w:val="11"/>
          </w:pPr>
          <w:r>
            <w:fldChar w:fldCharType="begin"/>
          </w:r>
          <w:r>
            <w:instrText xml:space="preserve"> HYPERLINK \l "_Toc84600833" </w:instrText>
          </w:r>
          <w:r>
            <w:fldChar w:fldCharType="separate"/>
          </w:r>
          <w:r>
            <w:rPr>
              <w:rStyle w:val="18"/>
              <w:rFonts w:hint="eastAsia"/>
            </w:rPr>
            <w:t>五、构建智能精准的政府治理体系</w:t>
          </w:r>
          <w:r>
            <w:tab/>
          </w:r>
          <w:r>
            <w:fldChar w:fldCharType="begin"/>
          </w:r>
          <w:r>
            <w:instrText xml:space="preserve"> PAGEREF _Toc84600833 \h </w:instrText>
          </w:r>
          <w:r>
            <w:fldChar w:fldCharType="separate"/>
          </w:r>
          <w:r>
            <w:t>16</w:t>
          </w:r>
          <w:r>
            <w:fldChar w:fldCharType="end"/>
          </w:r>
          <w:r>
            <w:fldChar w:fldCharType="end"/>
          </w:r>
        </w:p>
        <w:p>
          <w:pPr>
            <w:pStyle w:val="12"/>
          </w:pPr>
          <w:r>
            <w:fldChar w:fldCharType="begin"/>
          </w:r>
          <w:r>
            <w:instrText xml:space="preserve"> HYPERLINK \l "_Toc84600834" </w:instrText>
          </w:r>
          <w:r>
            <w:fldChar w:fldCharType="separate"/>
          </w:r>
          <w:r>
            <w:rPr>
              <w:rStyle w:val="18"/>
              <w:rFonts w:hint="eastAsia" w:ascii="楷体" w:hAnsi="楷体"/>
            </w:rPr>
            <w:t>（一）强化科学精准的经济治理</w:t>
          </w:r>
          <w:r>
            <w:tab/>
          </w:r>
          <w:r>
            <w:fldChar w:fldCharType="begin"/>
          </w:r>
          <w:r>
            <w:instrText xml:space="preserve"> PAGEREF _Toc84600834 \h </w:instrText>
          </w:r>
          <w:r>
            <w:fldChar w:fldCharType="separate"/>
          </w:r>
          <w:r>
            <w:t>16</w:t>
          </w:r>
          <w:r>
            <w:fldChar w:fldCharType="end"/>
          </w:r>
          <w:r>
            <w:fldChar w:fldCharType="end"/>
          </w:r>
        </w:p>
        <w:p>
          <w:pPr>
            <w:pStyle w:val="12"/>
          </w:pPr>
          <w:r>
            <w:fldChar w:fldCharType="begin"/>
          </w:r>
          <w:r>
            <w:instrText xml:space="preserve"> HYPERLINK \l "_Toc84600835" </w:instrText>
          </w:r>
          <w:r>
            <w:fldChar w:fldCharType="separate"/>
          </w:r>
          <w:r>
            <w:rPr>
              <w:rStyle w:val="18"/>
              <w:rFonts w:hint="eastAsia" w:ascii="楷体" w:hAnsi="楷体"/>
            </w:rPr>
            <w:t>（二）构建精细智治的社会治理</w:t>
          </w:r>
          <w:r>
            <w:tab/>
          </w:r>
          <w:r>
            <w:fldChar w:fldCharType="begin"/>
          </w:r>
          <w:r>
            <w:instrText xml:space="preserve"> PAGEREF _Toc84600835 \h </w:instrText>
          </w:r>
          <w:r>
            <w:fldChar w:fldCharType="separate"/>
          </w:r>
          <w:r>
            <w:t>18</w:t>
          </w:r>
          <w:r>
            <w:fldChar w:fldCharType="end"/>
          </w:r>
          <w:r>
            <w:fldChar w:fldCharType="end"/>
          </w:r>
        </w:p>
        <w:p>
          <w:pPr>
            <w:pStyle w:val="12"/>
          </w:pPr>
          <w:r>
            <w:fldChar w:fldCharType="begin"/>
          </w:r>
          <w:r>
            <w:instrText xml:space="preserve"> HYPERLINK \l "_Toc84600836" </w:instrText>
          </w:r>
          <w:r>
            <w:fldChar w:fldCharType="separate"/>
          </w:r>
          <w:r>
            <w:rPr>
              <w:rStyle w:val="18"/>
              <w:rFonts w:hint="eastAsia" w:ascii="楷体" w:hAnsi="楷体"/>
            </w:rPr>
            <w:t>（三）完善智能联动的生态治理</w:t>
          </w:r>
          <w:r>
            <w:tab/>
          </w:r>
          <w:r>
            <w:fldChar w:fldCharType="begin"/>
          </w:r>
          <w:r>
            <w:instrText xml:space="preserve"> PAGEREF _Toc84600836 \h </w:instrText>
          </w:r>
          <w:r>
            <w:fldChar w:fldCharType="separate"/>
          </w:r>
          <w:r>
            <w:t>20</w:t>
          </w:r>
          <w:r>
            <w:fldChar w:fldCharType="end"/>
          </w:r>
          <w:r>
            <w:fldChar w:fldCharType="end"/>
          </w:r>
        </w:p>
        <w:p>
          <w:pPr>
            <w:pStyle w:val="12"/>
          </w:pPr>
          <w:r>
            <w:fldChar w:fldCharType="begin"/>
          </w:r>
          <w:r>
            <w:instrText xml:space="preserve"> HYPERLINK \l "_Toc84600837" </w:instrText>
          </w:r>
          <w:r>
            <w:fldChar w:fldCharType="separate"/>
          </w:r>
          <w:r>
            <w:rPr>
              <w:rStyle w:val="18"/>
              <w:rFonts w:hint="eastAsia" w:ascii="楷体" w:hAnsi="楷体"/>
            </w:rPr>
            <w:t>（四）实现精密智控的应急治理</w:t>
          </w:r>
          <w:r>
            <w:tab/>
          </w:r>
          <w:r>
            <w:fldChar w:fldCharType="begin"/>
          </w:r>
          <w:r>
            <w:instrText xml:space="preserve"> PAGEREF _Toc84600837 \h </w:instrText>
          </w:r>
          <w:r>
            <w:fldChar w:fldCharType="separate"/>
          </w:r>
          <w:r>
            <w:t>21</w:t>
          </w:r>
          <w:r>
            <w:fldChar w:fldCharType="end"/>
          </w:r>
          <w:r>
            <w:fldChar w:fldCharType="end"/>
          </w:r>
        </w:p>
        <w:p>
          <w:pPr>
            <w:pStyle w:val="11"/>
          </w:pPr>
          <w:r>
            <w:fldChar w:fldCharType="begin"/>
          </w:r>
          <w:r>
            <w:instrText xml:space="preserve"> HYPERLINK \l "_Toc84600838" </w:instrText>
          </w:r>
          <w:r>
            <w:fldChar w:fldCharType="separate"/>
          </w:r>
          <w:r>
            <w:rPr>
              <w:rStyle w:val="18"/>
              <w:rFonts w:hint="eastAsia"/>
            </w:rPr>
            <w:t>六、创新综合高效的执法监管体系</w:t>
          </w:r>
          <w:r>
            <w:tab/>
          </w:r>
          <w:r>
            <w:fldChar w:fldCharType="begin"/>
          </w:r>
          <w:r>
            <w:instrText xml:space="preserve"> PAGEREF _Toc84600838 \h </w:instrText>
          </w:r>
          <w:r>
            <w:fldChar w:fldCharType="separate"/>
          </w:r>
          <w:r>
            <w:t>22</w:t>
          </w:r>
          <w:r>
            <w:fldChar w:fldCharType="end"/>
          </w:r>
          <w:r>
            <w:fldChar w:fldCharType="end"/>
          </w:r>
        </w:p>
        <w:p>
          <w:pPr>
            <w:pStyle w:val="12"/>
          </w:pPr>
          <w:r>
            <w:fldChar w:fldCharType="begin"/>
          </w:r>
          <w:r>
            <w:instrText xml:space="preserve"> HYPERLINK \l "_Toc84600839" </w:instrText>
          </w:r>
          <w:r>
            <w:fldChar w:fldCharType="separate"/>
          </w:r>
          <w:r>
            <w:rPr>
              <w:rStyle w:val="18"/>
              <w:rFonts w:hint="eastAsia" w:ascii="楷体" w:hAnsi="楷体"/>
            </w:rPr>
            <w:t>（一）强化综合执法管理</w:t>
          </w:r>
          <w:r>
            <w:tab/>
          </w:r>
          <w:r>
            <w:fldChar w:fldCharType="begin"/>
          </w:r>
          <w:r>
            <w:instrText xml:space="preserve"> PAGEREF _Toc84600839 \h </w:instrText>
          </w:r>
          <w:r>
            <w:fldChar w:fldCharType="separate"/>
          </w:r>
          <w:r>
            <w:t>22</w:t>
          </w:r>
          <w:r>
            <w:fldChar w:fldCharType="end"/>
          </w:r>
          <w:r>
            <w:fldChar w:fldCharType="end"/>
          </w:r>
        </w:p>
        <w:p>
          <w:pPr>
            <w:pStyle w:val="12"/>
          </w:pPr>
          <w:r>
            <w:fldChar w:fldCharType="begin"/>
          </w:r>
          <w:r>
            <w:instrText xml:space="preserve"> HYPERLINK \l "_Toc84600840" </w:instrText>
          </w:r>
          <w:r>
            <w:fldChar w:fldCharType="separate"/>
          </w:r>
          <w:r>
            <w:rPr>
              <w:rStyle w:val="18"/>
              <w:rFonts w:hint="eastAsia" w:ascii="楷体" w:hAnsi="楷体"/>
            </w:rPr>
            <w:t>（二）推进信用监管建设</w:t>
          </w:r>
          <w:r>
            <w:tab/>
          </w:r>
          <w:r>
            <w:fldChar w:fldCharType="begin"/>
          </w:r>
          <w:r>
            <w:instrText xml:space="preserve"> PAGEREF _Toc84600840 \h </w:instrText>
          </w:r>
          <w:r>
            <w:fldChar w:fldCharType="separate"/>
          </w:r>
          <w:r>
            <w:t>23</w:t>
          </w:r>
          <w:r>
            <w:fldChar w:fldCharType="end"/>
          </w:r>
          <w:r>
            <w:fldChar w:fldCharType="end"/>
          </w:r>
        </w:p>
        <w:p>
          <w:pPr>
            <w:pStyle w:val="12"/>
          </w:pPr>
          <w:r>
            <w:fldChar w:fldCharType="begin"/>
          </w:r>
          <w:r>
            <w:instrText xml:space="preserve"> HYPERLINK \l "_Toc84600841" </w:instrText>
          </w:r>
          <w:r>
            <w:fldChar w:fldCharType="separate"/>
          </w:r>
          <w:r>
            <w:rPr>
              <w:rStyle w:val="18"/>
              <w:rFonts w:hint="eastAsia" w:ascii="楷体" w:hAnsi="楷体"/>
            </w:rPr>
            <w:t>（三）提升重点领域监管能力</w:t>
          </w:r>
          <w:r>
            <w:tab/>
          </w:r>
          <w:r>
            <w:fldChar w:fldCharType="begin"/>
          </w:r>
          <w:r>
            <w:instrText xml:space="preserve"> PAGEREF _Toc84600841 \h </w:instrText>
          </w:r>
          <w:r>
            <w:fldChar w:fldCharType="separate"/>
          </w:r>
          <w:r>
            <w:t>23</w:t>
          </w:r>
          <w:r>
            <w:fldChar w:fldCharType="end"/>
          </w:r>
          <w:r>
            <w:fldChar w:fldCharType="end"/>
          </w:r>
        </w:p>
        <w:p>
          <w:pPr>
            <w:pStyle w:val="11"/>
          </w:pPr>
          <w:r>
            <w:fldChar w:fldCharType="begin"/>
          </w:r>
          <w:r>
            <w:instrText xml:space="preserve"> HYPERLINK \l "_Toc84600842" </w:instrText>
          </w:r>
          <w:r>
            <w:fldChar w:fldCharType="separate"/>
          </w:r>
          <w:r>
            <w:rPr>
              <w:rStyle w:val="18"/>
              <w:rFonts w:hint="eastAsia"/>
            </w:rPr>
            <w:t>七、建设安全可靠的数据支撑体系</w:t>
          </w:r>
          <w:r>
            <w:tab/>
          </w:r>
          <w:r>
            <w:fldChar w:fldCharType="begin"/>
          </w:r>
          <w:r>
            <w:instrText xml:space="preserve"> PAGEREF _Toc84600842 \h </w:instrText>
          </w:r>
          <w:r>
            <w:fldChar w:fldCharType="separate"/>
          </w:r>
          <w:r>
            <w:t>24</w:t>
          </w:r>
          <w:r>
            <w:fldChar w:fldCharType="end"/>
          </w:r>
          <w:r>
            <w:fldChar w:fldCharType="end"/>
          </w:r>
        </w:p>
        <w:p>
          <w:pPr>
            <w:pStyle w:val="12"/>
          </w:pPr>
          <w:r>
            <w:fldChar w:fldCharType="begin"/>
          </w:r>
          <w:r>
            <w:instrText xml:space="preserve"> HYPERLINK \l "_Toc84600843" </w:instrText>
          </w:r>
          <w:r>
            <w:fldChar w:fldCharType="separate"/>
          </w:r>
          <w:r>
            <w:rPr>
              <w:rStyle w:val="18"/>
              <w:rFonts w:hint="eastAsia" w:ascii="楷体" w:hAnsi="楷体"/>
            </w:rPr>
            <w:t>（一）加强数字基础设施建设</w:t>
          </w:r>
          <w:r>
            <w:tab/>
          </w:r>
          <w:r>
            <w:fldChar w:fldCharType="begin"/>
          </w:r>
          <w:r>
            <w:instrText xml:space="preserve"> PAGEREF _Toc84600843 \h </w:instrText>
          </w:r>
          <w:r>
            <w:fldChar w:fldCharType="separate"/>
          </w:r>
          <w:r>
            <w:t>24</w:t>
          </w:r>
          <w:r>
            <w:fldChar w:fldCharType="end"/>
          </w:r>
          <w:r>
            <w:fldChar w:fldCharType="end"/>
          </w:r>
        </w:p>
        <w:p>
          <w:pPr>
            <w:pStyle w:val="12"/>
          </w:pPr>
          <w:r>
            <w:fldChar w:fldCharType="begin"/>
          </w:r>
          <w:r>
            <w:instrText xml:space="preserve"> HYPERLINK \l "_Toc84600844" </w:instrText>
          </w:r>
          <w:r>
            <w:fldChar w:fldCharType="separate"/>
          </w:r>
          <w:r>
            <w:rPr>
              <w:rStyle w:val="18"/>
              <w:rFonts w:hint="eastAsia" w:ascii="楷体" w:hAnsi="楷体"/>
            </w:rPr>
            <w:t>（二）探索构建数字孪生城市</w:t>
          </w:r>
          <w:r>
            <w:tab/>
          </w:r>
          <w:r>
            <w:fldChar w:fldCharType="begin"/>
          </w:r>
          <w:r>
            <w:instrText xml:space="preserve"> PAGEREF _Toc84600844 \h </w:instrText>
          </w:r>
          <w:r>
            <w:fldChar w:fldCharType="separate"/>
          </w:r>
          <w:r>
            <w:t>25</w:t>
          </w:r>
          <w:r>
            <w:fldChar w:fldCharType="end"/>
          </w:r>
          <w:r>
            <w:fldChar w:fldCharType="end"/>
          </w:r>
        </w:p>
        <w:p>
          <w:pPr>
            <w:pStyle w:val="12"/>
          </w:pPr>
          <w:r>
            <w:fldChar w:fldCharType="begin"/>
          </w:r>
          <w:r>
            <w:instrText xml:space="preserve"> HYPERLINK \l "_Toc84600845" </w:instrText>
          </w:r>
          <w:r>
            <w:fldChar w:fldCharType="separate"/>
          </w:r>
          <w:r>
            <w:rPr>
              <w:rStyle w:val="18"/>
              <w:rFonts w:hint="eastAsia" w:ascii="楷体" w:hAnsi="楷体"/>
            </w:rPr>
            <w:t>（三）建设公共数据平台</w:t>
          </w:r>
          <w:r>
            <w:tab/>
          </w:r>
          <w:r>
            <w:fldChar w:fldCharType="begin"/>
          </w:r>
          <w:r>
            <w:instrText xml:space="preserve"> PAGEREF _Toc84600845 \h </w:instrText>
          </w:r>
          <w:r>
            <w:fldChar w:fldCharType="separate"/>
          </w:r>
          <w:r>
            <w:t>25</w:t>
          </w:r>
          <w:r>
            <w:fldChar w:fldCharType="end"/>
          </w:r>
          <w:r>
            <w:fldChar w:fldCharType="end"/>
          </w:r>
        </w:p>
        <w:p>
          <w:pPr>
            <w:pStyle w:val="12"/>
          </w:pPr>
          <w:r>
            <w:fldChar w:fldCharType="begin"/>
          </w:r>
          <w:r>
            <w:instrText xml:space="preserve"> HYPERLINK \l "_Toc84600846" </w:instrText>
          </w:r>
          <w:r>
            <w:fldChar w:fldCharType="separate"/>
          </w:r>
          <w:r>
            <w:rPr>
              <w:rStyle w:val="18"/>
              <w:rFonts w:hint="eastAsia" w:ascii="楷体" w:hAnsi="楷体"/>
            </w:rPr>
            <w:t>（四）强化数据统一管理</w:t>
          </w:r>
          <w:r>
            <w:tab/>
          </w:r>
          <w:r>
            <w:fldChar w:fldCharType="begin"/>
          </w:r>
          <w:r>
            <w:instrText xml:space="preserve"> PAGEREF _Toc84600846 \h </w:instrText>
          </w:r>
          <w:r>
            <w:fldChar w:fldCharType="separate"/>
          </w:r>
          <w:r>
            <w:t>26</w:t>
          </w:r>
          <w:r>
            <w:fldChar w:fldCharType="end"/>
          </w:r>
          <w:r>
            <w:fldChar w:fldCharType="end"/>
          </w:r>
        </w:p>
        <w:p>
          <w:pPr>
            <w:pStyle w:val="12"/>
          </w:pPr>
          <w:r>
            <w:fldChar w:fldCharType="begin"/>
          </w:r>
          <w:r>
            <w:instrText xml:space="preserve"> HYPERLINK \l "_Toc84600847" </w:instrText>
          </w:r>
          <w:r>
            <w:fldChar w:fldCharType="separate"/>
          </w:r>
          <w:r>
            <w:rPr>
              <w:rStyle w:val="18"/>
              <w:rFonts w:hint="eastAsia" w:ascii="楷体" w:hAnsi="楷体"/>
            </w:rPr>
            <w:t>（五）建立标准规范体系</w:t>
          </w:r>
          <w:r>
            <w:tab/>
          </w:r>
          <w:r>
            <w:fldChar w:fldCharType="begin"/>
          </w:r>
          <w:r>
            <w:instrText xml:space="preserve"> PAGEREF _Toc84600847 \h </w:instrText>
          </w:r>
          <w:r>
            <w:fldChar w:fldCharType="separate"/>
          </w:r>
          <w:r>
            <w:t>28</w:t>
          </w:r>
          <w:r>
            <w:fldChar w:fldCharType="end"/>
          </w:r>
          <w:r>
            <w:fldChar w:fldCharType="end"/>
          </w:r>
        </w:p>
        <w:p>
          <w:pPr>
            <w:pStyle w:val="12"/>
          </w:pPr>
          <w:r>
            <w:fldChar w:fldCharType="begin"/>
          </w:r>
          <w:r>
            <w:instrText xml:space="preserve"> HYPERLINK \l "_Toc84600848" </w:instrText>
          </w:r>
          <w:r>
            <w:fldChar w:fldCharType="separate"/>
          </w:r>
          <w:r>
            <w:rPr>
              <w:rStyle w:val="18"/>
              <w:rFonts w:hint="eastAsia" w:ascii="楷体" w:hAnsi="楷体"/>
            </w:rPr>
            <w:t>（六）健全安全保障体系</w:t>
          </w:r>
          <w:r>
            <w:tab/>
          </w:r>
          <w:r>
            <w:fldChar w:fldCharType="begin"/>
          </w:r>
          <w:r>
            <w:instrText xml:space="preserve"> PAGEREF _Toc84600848 \h </w:instrText>
          </w:r>
          <w:r>
            <w:fldChar w:fldCharType="separate"/>
          </w:r>
          <w:r>
            <w:t>28</w:t>
          </w:r>
          <w:r>
            <w:fldChar w:fldCharType="end"/>
          </w:r>
          <w:r>
            <w:fldChar w:fldCharType="end"/>
          </w:r>
        </w:p>
        <w:p>
          <w:pPr>
            <w:pStyle w:val="11"/>
          </w:pPr>
          <w:r>
            <w:fldChar w:fldCharType="begin"/>
          </w:r>
          <w:r>
            <w:instrText xml:space="preserve"> HYPERLINK \l "_Toc84600849" </w:instrText>
          </w:r>
          <w:r>
            <w:fldChar w:fldCharType="separate"/>
          </w:r>
          <w:r>
            <w:rPr>
              <w:rStyle w:val="18"/>
              <w:rFonts w:hint="eastAsia"/>
            </w:rPr>
            <w:t>八、保障措施</w:t>
          </w:r>
          <w:r>
            <w:tab/>
          </w:r>
          <w:r>
            <w:fldChar w:fldCharType="begin"/>
          </w:r>
          <w:r>
            <w:instrText xml:space="preserve"> PAGEREF _Toc84600849 \h </w:instrText>
          </w:r>
          <w:r>
            <w:fldChar w:fldCharType="separate"/>
          </w:r>
          <w:r>
            <w:t>29</w:t>
          </w:r>
          <w:r>
            <w:fldChar w:fldCharType="end"/>
          </w:r>
          <w:r>
            <w:fldChar w:fldCharType="end"/>
          </w:r>
        </w:p>
        <w:p>
          <w:pPr>
            <w:pStyle w:val="12"/>
          </w:pPr>
          <w:r>
            <w:fldChar w:fldCharType="begin"/>
          </w:r>
          <w:r>
            <w:instrText xml:space="preserve"> HYPERLINK \l "_Toc84600850" </w:instrText>
          </w:r>
          <w:r>
            <w:fldChar w:fldCharType="separate"/>
          </w:r>
          <w:r>
            <w:rPr>
              <w:rStyle w:val="18"/>
              <w:rFonts w:hint="eastAsia" w:ascii="楷体" w:hAnsi="楷体"/>
            </w:rPr>
            <w:t>（一）强化组织领导</w:t>
          </w:r>
          <w:r>
            <w:tab/>
          </w:r>
          <w:r>
            <w:fldChar w:fldCharType="begin"/>
          </w:r>
          <w:r>
            <w:instrText xml:space="preserve"> PAGEREF _Toc84600850 \h </w:instrText>
          </w:r>
          <w:r>
            <w:fldChar w:fldCharType="separate"/>
          </w:r>
          <w:r>
            <w:t>29</w:t>
          </w:r>
          <w:r>
            <w:fldChar w:fldCharType="end"/>
          </w:r>
          <w:r>
            <w:fldChar w:fldCharType="end"/>
          </w:r>
        </w:p>
        <w:p>
          <w:pPr>
            <w:pStyle w:val="12"/>
          </w:pPr>
          <w:r>
            <w:fldChar w:fldCharType="begin"/>
          </w:r>
          <w:r>
            <w:instrText xml:space="preserve"> HYPERLINK \l "_Toc84600851" </w:instrText>
          </w:r>
          <w:r>
            <w:fldChar w:fldCharType="separate"/>
          </w:r>
          <w:r>
            <w:rPr>
              <w:rStyle w:val="18"/>
              <w:rFonts w:hint="eastAsia" w:ascii="楷体" w:hAnsi="楷体"/>
            </w:rPr>
            <w:t>（二）强化人才支撑</w:t>
          </w:r>
          <w:r>
            <w:tab/>
          </w:r>
          <w:r>
            <w:fldChar w:fldCharType="begin"/>
          </w:r>
          <w:r>
            <w:instrText xml:space="preserve"> PAGEREF _Toc84600851 \h </w:instrText>
          </w:r>
          <w:r>
            <w:fldChar w:fldCharType="separate"/>
          </w:r>
          <w:r>
            <w:t>29</w:t>
          </w:r>
          <w:r>
            <w:fldChar w:fldCharType="end"/>
          </w:r>
          <w:r>
            <w:fldChar w:fldCharType="end"/>
          </w:r>
        </w:p>
        <w:p>
          <w:pPr>
            <w:pStyle w:val="12"/>
          </w:pPr>
          <w:r>
            <w:fldChar w:fldCharType="begin"/>
          </w:r>
          <w:r>
            <w:instrText xml:space="preserve"> HYPERLINK \l "_Toc84600852" </w:instrText>
          </w:r>
          <w:r>
            <w:fldChar w:fldCharType="separate"/>
          </w:r>
          <w:r>
            <w:rPr>
              <w:rStyle w:val="18"/>
              <w:rFonts w:hint="eastAsia" w:ascii="楷体" w:hAnsi="楷体"/>
            </w:rPr>
            <w:t>（三）强化资金支持</w:t>
          </w:r>
          <w:r>
            <w:tab/>
          </w:r>
          <w:r>
            <w:fldChar w:fldCharType="begin"/>
          </w:r>
          <w:r>
            <w:instrText xml:space="preserve"> PAGEREF _Toc84600852 \h </w:instrText>
          </w:r>
          <w:r>
            <w:fldChar w:fldCharType="separate"/>
          </w:r>
          <w:r>
            <w:t>30</w:t>
          </w:r>
          <w:r>
            <w:fldChar w:fldCharType="end"/>
          </w:r>
          <w:r>
            <w:fldChar w:fldCharType="end"/>
          </w:r>
        </w:p>
        <w:p>
          <w:pPr>
            <w:pStyle w:val="12"/>
          </w:pPr>
          <w:r>
            <w:fldChar w:fldCharType="begin"/>
          </w:r>
          <w:r>
            <w:instrText xml:space="preserve"> HYPERLINK \l "_Toc84600853" </w:instrText>
          </w:r>
          <w:r>
            <w:fldChar w:fldCharType="separate"/>
          </w:r>
          <w:r>
            <w:rPr>
              <w:rStyle w:val="18"/>
              <w:rFonts w:hint="eastAsia" w:ascii="楷体" w:hAnsi="楷体"/>
            </w:rPr>
            <w:t>（四）强化制度保障</w:t>
          </w:r>
          <w:r>
            <w:tab/>
          </w:r>
          <w:r>
            <w:fldChar w:fldCharType="begin"/>
          </w:r>
          <w:r>
            <w:instrText xml:space="preserve"> PAGEREF _Toc84600853 \h </w:instrText>
          </w:r>
          <w:r>
            <w:fldChar w:fldCharType="separate"/>
          </w:r>
          <w:r>
            <w:t>30</w:t>
          </w:r>
          <w:r>
            <w:fldChar w:fldCharType="end"/>
          </w:r>
          <w:r>
            <w:fldChar w:fldCharType="end"/>
          </w:r>
        </w:p>
        <w:p>
          <w:pPr>
            <w:pStyle w:val="11"/>
          </w:pPr>
          <w:r>
            <w:fldChar w:fldCharType="begin"/>
          </w:r>
          <w:r>
            <w:instrText xml:space="preserve"> HYPERLINK \l "_Toc84600854" </w:instrText>
          </w:r>
          <w:r>
            <w:fldChar w:fldCharType="separate"/>
          </w:r>
          <w:r>
            <w:rPr>
              <w:rStyle w:val="18"/>
              <w:rFonts w:hint="eastAsia"/>
            </w:rPr>
            <w:t>九、重点建设项目</w:t>
          </w:r>
          <w:r>
            <w:tab/>
          </w:r>
          <w:r>
            <w:fldChar w:fldCharType="begin"/>
          </w:r>
          <w:r>
            <w:instrText xml:space="preserve"> PAGEREF _Toc84600854 \h </w:instrText>
          </w:r>
          <w:r>
            <w:fldChar w:fldCharType="separate"/>
          </w:r>
          <w:r>
            <w:t>31</w:t>
          </w:r>
          <w:r>
            <w:fldChar w:fldCharType="end"/>
          </w:r>
          <w:r>
            <w:fldChar w:fldCharType="end"/>
          </w:r>
        </w:p>
        <w:p>
          <w:pPr>
            <w:rPr>
              <w:color w:val="000000" w:themeColor="text1"/>
              <w14:textFill>
                <w14:solidFill>
                  <w14:schemeClr w14:val="tx1"/>
                </w14:solidFill>
              </w14:textFill>
            </w:rPr>
          </w:pPr>
          <w:r>
            <w:rPr>
              <w:b/>
              <w:bCs/>
              <w:color w:val="000000" w:themeColor="text1"/>
              <w:lang w:val="zh-CN"/>
              <w14:textFill>
                <w14:solidFill>
                  <w14:schemeClr w14:val="tx1"/>
                </w14:solidFill>
              </w14:textFill>
            </w:rPr>
            <w:fldChar w:fldCharType="end"/>
          </w:r>
        </w:p>
      </w:sdtContent>
    </w:sdt>
    <w:p>
      <w:pPr>
        <w:spacing w:line="720" w:lineRule="exact"/>
        <w:jc w:val="right"/>
        <w:rPr>
          <w:rFonts w:ascii="Times New Roman" w:hAnsi="Times New Roman" w:eastAsia="方正小标宋简体" w:cs="Times New Roman"/>
          <w:b/>
          <w:bCs/>
          <w:color w:val="000000" w:themeColor="text1"/>
          <w:sz w:val="28"/>
          <w:szCs w:val="28"/>
          <w14:textFill>
            <w14:solidFill>
              <w14:schemeClr w14:val="tx1"/>
            </w14:solidFill>
          </w14:textFill>
        </w:rPr>
      </w:pPr>
    </w:p>
    <w:p>
      <w:pPr>
        <w:widowControl/>
        <w:jc w:val="left"/>
        <w:rPr>
          <w:rFonts w:ascii="Times New Roman" w:hAnsi="Times New Roman" w:eastAsia="方正小标宋简体" w:cs="Times New Roman"/>
          <w:b/>
          <w:bCs/>
          <w:color w:val="000000" w:themeColor="text1"/>
          <w:sz w:val="28"/>
          <w:szCs w:val="28"/>
          <w14:textFill>
            <w14:solidFill>
              <w14:schemeClr w14:val="tx1"/>
            </w14:solidFill>
          </w14:textFill>
        </w:rPr>
      </w:pPr>
      <w:r>
        <w:rPr>
          <w:rFonts w:ascii="Times New Roman" w:hAnsi="Times New Roman" w:eastAsia="方正小标宋简体" w:cs="Times New Roman"/>
          <w:b/>
          <w:bCs/>
          <w:color w:val="000000" w:themeColor="text1"/>
          <w:sz w:val="28"/>
          <w:szCs w:val="28"/>
          <w14:textFill>
            <w14:solidFill>
              <w14:schemeClr w14:val="tx1"/>
            </w14:solidFill>
          </w14:textFill>
        </w:rPr>
        <w:br w:type="page"/>
      </w:r>
    </w:p>
    <w:p>
      <w:pPr>
        <w:spacing w:line="720" w:lineRule="exact"/>
        <w:jc w:val="right"/>
        <w:rPr>
          <w:rFonts w:ascii="Times New Roman" w:hAnsi="Times New Roman" w:eastAsia="方正小标宋简体" w:cs="Times New Roman"/>
          <w:b/>
          <w:bCs/>
          <w:color w:val="000000" w:themeColor="text1"/>
          <w:sz w:val="28"/>
          <w:szCs w:val="28"/>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p>
    <w:p>
      <w:pPr>
        <w:pStyle w:val="3"/>
        <w:numPr>
          <w:ilvl w:val="0"/>
          <w:numId w:val="2"/>
        </w:numPr>
        <w:spacing w:before="0" w:after="0"/>
        <w:ind w:firstLineChars="0"/>
        <w:rPr>
          <w:color w:val="000000" w:themeColor="text1"/>
          <w14:textFill>
            <w14:solidFill>
              <w14:schemeClr w14:val="tx1"/>
            </w14:solidFill>
          </w14:textFill>
        </w:rPr>
      </w:pPr>
      <w:bookmarkStart w:id="0" w:name="_Toc51775313"/>
      <w:bookmarkStart w:id="1" w:name="_Toc84600818"/>
      <w:r>
        <w:rPr>
          <w:rFonts w:hint="eastAsia"/>
          <w:color w:val="000000" w:themeColor="text1"/>
          <w14:textFill>
            <w14:solidFill>
              <w14:schemeClr w14:val="tx1"/>
            </w14:solidFill>
          </w14:textFill>
        </w:rPr>
        <w:t>建设背景</w:t>
      </w:r>
      <w:bookmarkEnd w:id="0"/>
      <w:bookmarkEnd w:id="1"/>
    </w:p>
    <w:p>
      <w:pPr>
        <w:pStyle w:val="4"/>
        <w:numPr>
          <w:ilvl w:val="0"/>
          <w:numId w:val="0"/>
        </w:numPr>
        <w:ind w:firstLine="640" w:firstLineChars="200"/>
        <w:rPr>
          <w:rFonts w:ascii="楷体" w:hAnsi="楷体"/>
          <w:b w:val="0"/>
          <w:color w:val="000000" w:themeColor="text1"/>
          <w14:textFill>
            <w14:solidFill>
              <w14:schemeClr w14:val="tx1"/>
            </w14:solidFill>
          </w14:textFill>
        </w:rPr>
      </w:pPr>
      <w:bookmarkStart w:id="2" w:name="_Toc84600819"/>
      <w:bookmarkStart w:id="3" w:name="_Toc59368151"/>
      <w:bookmarkStart w:id="4" w:name="_Toc28846"/>
      <w:r>
        <w:rPr>
          <w:rFonts w:hint="eastAsia" w:ascii="楷体" w:hAnsi="楷体"/>
          <w:b w:val="0"/>
          <w:color w:val="000000" w:themeColor="text1"/>
          <w14:textFill>
            <w14:solidFill>
              <w14:schemeClr w14:val="tx1"/>
            </w14:solidFill>
          </w14:textFill>
        </w:rPr>
        <w:t>（一）发展形势</w:t>
      </w:r>
      <w:bookmarkEnd w:id="2"/>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国家在历史新阶段提出政治体制改革新要求。</w:t>
      </w:r>
      <w:r>
        <w:rPr>
          <w:rFonts w:hint="eastAsia"/>
          <w:color w:val="000000" w:themeColor="text1"/>
          <w14:textFill>
            <w14:solidFill>
              <w14:schemeClr w14:val="tx1"/>
            </w14:solidFill>
          </w14:textFill>
        </w:rPr>
        <w:t>近年来，国家政治体制改革进入深水区，“十三五”期间提出“放管服”改革，政府内部要改革传统的行政管理体制，提升政府治理体系的现代化水平；对社会要提升行政便利化水平，使之更加适应社会主义市场经济和新时期社会发展要求。随着数字时代的到来，“十四五”时期推进数字政府建设是转变政府职能、创新行政管理和服务方式、提高行政效能、建设人民满意的服务型政府的重要途径。习近平总书记强调，要把加强改革系统集成、推动改革落地见效摆在更加突出的位置。金华市要坚持数字赋能推动经济社会高质量发展的基本路径，进一步发挥数字化在完善治理体系、提高治理能力中的作用。</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浙江省为打造“重要窗口”和高质量发展建设共同富裕示范区开启数字政府建设新征程。</w:t>
      </w:r>
      <w:r>
        <w:rPr>
          <w:rFonts w:hint="eastAsia"/>
          <w:color w:val="000000" w:themeColor="text1"/>
          <w14:textFill>
            <w14:solidFill>
              <w14:schemeClr w14:val="tx1"/>
            </w14:solidFill>
          </w14:textFill>
        </w:rPr>
        <w:t>浙江</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深入</w:t>
      </w:r>
      <w:r>
        <w:rPr>
          <w:color w:val="000000" w:themeColor="text1"/>
          <w14:textFill>
            <w14:solidFill>
              <w14:schemeClr w14:val="tx1"/>
            </w14:solidFill>
          </w14:textFill>
        </w:rPr>
        <w:t>贯彻落实习近平总书记考察浙江重要讲话精神</w:t>
      </w:r>
      <w:r>
        <w:rPr>
          <w:rFonts w:hint="eastAsia"/>
          <w:color w:val="000000" w:themeColor="text1"/>
          <w14:textFill>
            <w14:solidFill>
              <w14:schemeClr w14:val="tx1"/>
            </w14:solidFill>
          </w14:textFill>
        </w:rPr>
        <w:t>，以“两山理论”为指导，忠实践行“八八战略”、奋力打造“重要窗口”，高质量发展建设共同富裕示范区，建设“整体智治、唯实惟先”现代政府。</w:t>
      </w:r>
      <w:r>
        <w:rPr>
          <w:color w:val="000000" w:themeColor="text1"/>
          <w14:textFill>
            <w14:solidFill>
              <w14:schemeClr w14:val="tx1"/>
            </w14:solidFill>
          </w14:textFill>
        </w:rPr>
        <w:t>以数字化改革撬动各领域各方面改革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率先推进省域治理现代化</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打造省域现代化治理先行示范区。数字化改革是开创性、系统性、立体性展现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重要窗口</w:t>
      </w:r>
      <w:r>
        <w:rPr>
          <w:rFonts w:hint="eastAsia"/>
          <w:color w:val="000000" w:themeColor="text1"/>
          <w14:textFill>
            <w14:solidFill>
              <w14:schemeClr w14:val="tx1"/>
            </w14:solidFill>
          </w14:textFill>
        </w:rPr>
        <w:t>”和共同富裕示范区标杆形象的重大突破口</w:t>
      </w:r>
      <w:r>
        <w:rPr>
          <w:color w:val="000000" w:themeColor="text1"/>
          <w14:textFill>
            <w14:solidFill>
              <w14:schemeClr w14:val="tx1"/>
            </w14:solidFill>
          </w14:textFill>
        </w:rPr>
        <w:t>。金华市</w:t>
      </w:r>
      <w:r>
        <w:rPr>
          <w:rFonts w:hint="eastAsia"/>
          <w:color w:val="000000" w:themeColor="text1"/>
          <w14:textFill>
            <w14:solidFill>
              <w14:schemeClr w14:val="tx1"/>
            </w14:solidFill>
          </w14:textFill>
        </w:rPr>
        <w:t>作为全省内陆开放高地与经济高质量发展新增长极</w:t>
      </w:r>
      <w:r>
        <w:rPr>
          <w:color w:val="000000" w:themeColor="text1"/>
          <w14:textFill>
            <w14:solidFill>
              <w14:schemeClr w14:val="tx1"/>
            </w14:solidFill>
          </w14:textFill>
        </w:rPr>
        <w:t>，要利用好自身优势，高水平建成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整体智治</w:t>
      </w:r>
      <w:r>
        <w:rPr>
          <w:rFonts w:hint="eastAsia"/>
          <w:color w:val="000000" w:themeColor="text1"/>
          <w14:textFill>
            <w14:solidFill>
              <w14:schemeClr w14:val="tx1"/>
            </w14:solidFill>
          </w14:textFill>
        </w:rPr>
        <w:t>、唯实惟先”</w:t>
      </w:r>
      <w:r>
        <w:rPr>
          <w:color w:val="000000" w:themeColor="text1"/>
          <w14:textFill>
            <w14:solidFill>
              <w14:schemeClr w14:val="tx1"/>
            </w14:solidFill>
          </w14:textFill>
        </w:rPr>
        <w:t>的现代政府，</w:t>
      </w:r>
      <w:r>
        <w:rPr>
          <w:rFonts w:hint="eastAsia"/>
          <w:color w:val="000000" w:themeColor="text1"/>
          <w14:textFill>
            <w14:solidFill>
              <w14:schemeClr w14:val="tx1"/>
            </w14:solidFill>
          </w14:textFill>
        </w:rPr>
        <w:t>以数字政府建设成效助力“两优一高”市建设，</w:t>
      </w:r>
      <w:r>
        <w:rPr>
          <w:color w:val="000000" w:themeColor="text1"/>
          <w14:textFill>
            <w14:solidFill>
              <w14:schemeClr w14:val="tx1"/>
            </w14:solidFill>
          </w14:textFill>
        </w:rPr>
        <w:t>争创社会主义现代化先行市。</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金华市奋力打造高质量发展推进共同富裕先行示范的浙中板块。</w:t>
      </w:r>
      <w:r>
        <w:rPr>
          <w:rFonts w:ascii="微软雅黑" w:hAnsi="微软雅黑"/>
          <w:color w:val="000000"/>
        </w:rPr>
        <w:t>市委七届九次全体（扩大）会议提出要</w:t>
      </w:r>
      <w:r>
        <w:rPr>
          <w:rFonts w:hint="eastAsia" w:ascii="微软雅黑" w:hAnsi="微软雅黑"/>
          <w:color w:val="000000"/>
        </w:rPr>
        <w:t>打好“八套组合拳”，打造高质量发展、高层次富裕、高效率分配、高品质生活、高水平协调、高素质文明、高标准美丽、高效能治理的浙中板块。会议审议原则通过《中共金华市委七届九次全会关于数字赋能 拼搏争先 奋力打造高质量发展推进共同富裕先行示范浙中板块的决议》《金华高质量发展推进共同富裕先行示范实施方案（</w:t>
      </w:r>
      <w:r>
        <w:rPr>
          <w:rFonts w:ascii="Times New Roman" w:hAnsi="Times New Roman" w:cs="Times New Roman"/>
          <w:color w:val="000000"/>
        </w:rPr>
        <w:t>2021—2025</w:t>
      </w:r>
      <w:r>
        <w:rPr>
          <w:rFonts w:hint="eastAsia" w:ascii="微软雅黑" w:hAnsi="微软雅黑"/>
          <w:color w:val="000000"/>
        </w:rPr>
        <w:t>年）》，强调要</w:t>
      </w:r>
      <w:r>
        <w:rPr>
          <w:rFonts w:ascii="微软雅黑" w:hAnsi="微软雅黑"/>
          <w:color w:val="000000"/>
        </w:rPr>
        <w:t>全面深化数字化改革，深入实施重大改革争先行动，以数字化撬动共同富裕体制机制创新取得重大突破性成果。</w:t>
      </w:r>
    </w:p>
    <w:p>
      <w:pPr>
        <w:pStyle w:val="33"/>
        <w:ind w:firstLine="643"/>
        <w:rPr>
          <w:rFonts w:ascii="仿宋" w:hAnsi="仿宋" w:eastAsia="仿宋"/>
          <w:color w:val="000000" w:themeColor="text1"/>
          <w14:textFill>
            <w14:solidFill>
              <w14:schemeClr w14:val="tx1"/>
            </w14:solidFill>
          </w14:textFill>
        </w:rPr>
      </w:pPr>
      <w:r>
        <w:rPr>
          <w:rFonts w:hint="eastAsia"/>
          <w:b/>
          <w:color w:val="000000" w:themeColor="text1"/>
          <w14:textFill>
            <w14:solidFill>
              <w14:schemeClr w14:val="tx1"/>
            </w14:solidFill>
          </w14:textFill>
        </w:rPr>
        <w:t>经济社会发展催化</w:t>
      </w:r>
      <w:r>
        <w:rPr>
          <w:b/>
          <w:color w:val="000000" w:themeColor="text1"/>
          <w14:textFill>
            <w14:solidFill>
              <w14:schemeClr w14:val="tx1"/>
            </w14:solidFill>
          </w14:textFill>
        </w:rPr>
        <w:t>数字政府建设</w:t>
      </w:r>
      <w:r>
        <w:rPr>
          <w:rFonts w:hint="eastAsia"/>
          <w:b/>
          <w:color w:val="000000" w:themeColor="text1"/>
          <w14:textFill>
            <w14:solidFill>
              <w14:schemeClr w14:val="tx1"/>
            </w14:solidFill>
          </w14:textFill>
        </w:rPr>
        <w:t>新模式。</w:t>
      </w:r>
      <w:r>
        <w:rPr>
          <w:color w:val="000000" w:themeColor="text1"/>
          <w14:textFill>
            <w14:solidFill>
              <w14:schemeClr w14:val="tx1"/>
            </w14:solidFill>
          </w14:textFill>
        </w:rPr>
        <w:t>当前经济和社会发展要求发挥</w:t>
      </w:r>
      <w:r>
        <w:rPr>
          <w:rFonts w:hint="eastAsia"/>
          <w:color w:val="000000" w:themeColor="text1"/>
          <w14:textFill>
            <w14:solidFill>
              <w14:schemeClr w14:val="tx1"/>
            </w14:solidFill>
          </w14:textFill>
        </w:rPr>
        <w:t>数字化</w:t>
      </w:r>
      <w:r>
        <w:rPr>
          <w:color w:val="000000" w:themeColor="text1"/>
          <w14:textFill>
            <w14:solidFill>
              <w14:schemeClr w14:val="tx1"/>
            </w14:solidFill>
          </w14:textFill>
        </w:rPr>
        <w:t>改革在引领经济</w:t>
      </w:r>
      <w:r>
        <w:rPr>
          <w:rFonts w:hint="eastAsia"/>
          <w:color w:val="000000" w:themeColor="text1"/>
          <w14:textFill>
            <w14:solidFill>
              <w14:schemeClr w14:val="tx1"/>
            </w14:solidFill>
          </w14:textFill>
        </w:rPr>
        <w:t>发展、驱动营商环境优化、提升公共服务水平等方面的重要作用。数字政府建设是政府部门对社会经济演进到数字时代的自我适应，也是深化改革赋能新发展阶段的关键举措。数字政府建设要自觉践行以人民为中心的发展思路，推动“政府供给导向”向“群众需求导向”转变，变“群众跑腿”为“数据跑腿”，变“群众来回跑”为“部门协同办”。金华市</w:t>
      </w:r>
      <w:r>
        <w:rPr>
          <w:color w:val="000000" w:themeColor="text1"/>
          <w14:textFill>
            <w14:solidFill>
              <w14:schemeClr w14:val="tx1"/>
            </w14:solidFill>
          </w14:textFill>
        </w:rPr>
        <w:t>须</w:t>
      </w:r>
      <w:r>
        <w:rPr>
          <w:rFonts w:hint="eastAsia"/>
          <w:color w:val="000000" w:themeColor="text1"/>
          <w14:textFill>
            <w14:solidFill>
              <w14:schemeClr w14:val="tx1"/>
            </w14:solidFill>
          </w14:textFill>
        </w:rPr>
        <w:t>加快形成与数字变革时代相适应的生产方式、生活方式、治理方式，塑造引领未来的新形态、新模式。</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科技持续发展为数字政府建设提供强大的技术基础。</w:t>
      </w:r>
      <w:r>
        <w:rPr>
          <w:rFonts w:hint="eastAsia"/>
          <w:color w:val="000000" w:themeColor="text1"/>
          <w14:textFill>
            <w14:solidFill>
              <w14:schemeClr w14:val="tx1"/>
            </w14:solidFill>
          </w14:textFill>
        </w:rPr>
        <w:t>以区块链、大数据、人工智能为代表的新一代信息技术蓬勃发展。将现代信息技术融于政府决策、公共服务、社会治理、市场监管等制度供给中，系统性推进机构职能优化、部门业务协同、行政管理机制和服务方式等变革，把制度优势转化为治理效能，推进治理体系和治理能力现代化。金华市须把握数字技术的变革创新机遇，掌握好数字政府建设“新工具”，推动经济社会转型发展、提升社会治理能力、塑造城市竞争新优势、实现跨越式发展。</w:t>
      </w:r>
    </w:p>
    <w:p>
      <w:pPr>
        <w:pStyle w:val="4"/>
        <w:numPr>
          <w:ilvl w:val="0"/>
          <w:numId w:val="0"/>
        </w:numPr>
        <w:ind w:firstLine="640" w:firstLineChars="200"/>
        <w:rPr>
          <w:rFonts w:ascii="楷体" w:hAnsi="楷体"/>
          <w:b w:val="0"/>
          <w:color w:val="000000" w:themeColor="text1"/>
          <w14:textFill>
            <w14:solidFill>
              <w14:schemeClr w14:val="tx1"/>
            </w14:solidFill>
          </w14:textFill>
        </w:rPr>
      </w:pPr>
      <w:bookmarkStart w:id="5" w:name="_Toc84600820"/>
      <w:r>
        <w:rPr>
          <w:rFonts w:ascii="楷体" w:hAnsi="楷体"/>
          <w:b w:val="0"/>
          <w:color w:val="000000" w:themeColor="text1"/>
          <w14:textFill>
            <w14:solidFill>
              <w14:schemeClr w14:val="tx1"/>
            </w14:solidFill>
          </w14:textFill>
        </w:rPr>
        <w:t>（二）现实基础</w:t>
      </w:r>
      <w:bookmarkEnd w:id="3"/>
      <w:bookmarkEnd w:id="4"/>
      <w:bookmarkEnd w:id="5"/>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数字</w:t>
      </w:r>
      <w:r>
        <w:rPr>
          <w:b/>
          <w:color w:val="000000" w:themeColor="text1"/>
          <w14:textFill>
            <w14:solidFill>
              <w14:schemeClr w14:val="tx1"/>
            </w14:solidFill>
          </w14:textFill>
        </w:rPr>
        <w:t>政府建设</w:t>
      </w:r>
      <w:r>
        <w:rPr>
          <w:rFonts w:hint="eastAsia"/>
          <w:b/>
          <w:color w:val="000000" w:themeColor="text1"/>
          <w14:textFill>
            <w14:solidFill>
              <w14:schemeClr w14:val="tx1"/>
            </w14:solidFill>
          </w14:textFill>
        </w:rPr>
        <w:t>取得初步成效。</w:t>
      </w:r>
      <w:r>
        <w:rPr>
          <w:rFonts w:hint="eastAsia"/>
          <w:color w:val="000000" w:themeColor="text1"/>
          <w14:textFill>
            <w14:solidFill>
              <w14:schemeClr w14:val="tx1"/>
            </w14:solidFill>
          </w14:textFill>
        </w:rPr>
        <w:t>金华市委、市政府高度重视政府数字化转型工作，立足于为人民服务，持续提升政府治理能力</w:t>
      </w:r>
      <w:r>
        <w:rPr>
          <w:rFonts w:ascii="Times New Roman" w:hAnsi="Times New Roman" w:cs="Times New Roman"/>
          <w:color w:val="000000" w:themeColor="text1"/>
          <w14:textFill>
            <w14:solidFill>
              <w14:schemeClr w14:val="tx1"/>
            </w14:solidFill>
          </w14:textFill>
        </w:rPr>
        <w:t>。2019、2020连续两年入选中国数字政府特色评选50强优秀</w:t>
      </w:r>
      <w:r>
        <w:rPr>
          <w:rFonts w:hint="eastAsia"/>
          <w:color w:val="000000" w:themeColor="text1"/>
          <w14:textFill>
            <w14:solidFill>
              <w14:schemeClr w14:val="tx1"/>
            </w14:solidFill>
          </w14:textFill>
        </w:rPr>
        <w:t>实践案例。“一网九通”顶层设计、“互联网</w:t>
      </w:r>
      <w:r>
        <w:rPr>
          <w:rFonts w:hint="eastAsia"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监管”工作在全省专题会议上作典型经验交流。“无证明城市”改革数据支撑形成“金华经验”。企业开办“零见面”审批、“标准地”改革、“三无大厅”建设、退休“一件事”改革等工作先后被省委省政府主要领导批示肯定。</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政府服务和履职效能显著提升。</w:t>
      </w:r>
      <w:r>
        <w:rPr>
          <w:rFonts w:hint="eastAsia"/>
          <w:color w:val="000000" w:themeColor="text1"/>
          <w14:textFill>
            <w14:solidFill>
              <w14:schemeClr w14:val="tx1"/>
            </w14:solidFill>
          </w14:textFill>
        </w:rPr>
        <w:t>“互联网＋监管”工作持续开展，执法检查、双随机抽查、专项检查、事件处置率、掌上执法率</w:t>
      </w:r>
      <w:r>
        <w:rPr>
          <w:rFonts w:ascii="Times New Roman" w:hAnsi="Times New Roman" w:cs="Times New Roman"/>
          <w:color w:val="000000" w:themeColor="text1"/>
          <w14:textFill>
            <w14:solidFill>
              <w14:schemeClr w14:val="tx1"/>
            </w14:solidFill>
          </w14:textFill>
        </w:rPr>
        <w:t>等5项核心</w:t>
      </w:r>
      <w:r>
        <w:rPr>
          <w:rFonts w:hint="eastAsia"/>
          <w:color w:val="000000" w:themeColor="text1"/>
          <w14:textFill>
            <w14:solidFill>
              <w14:schemeClr w14:val="tx1"/>
            </w14:solidFill>
          </w14:textFill>
        </w:rPr>
        <w:t>指标居全省前列。“政务服务</w:t>
      </w:r>
      <w:r>
        <w:rPr>
          <w:rFonts w:hint="eastAsia" w:ascii="Times New Roman" w:hAnsi="Times New Roman" w:cs="Times New Roman"/>
          <w:color w:val="000000" w:themeColor="text1"/>
          <w14:textFill>
            <w14:solidFill>
              <w14:schemeClr w14:val="tx1"/>
            </w14:solidFill>
          </w14:textFill>
        </w:rPr>
        <w:t>2.0</w:t>
      </w:r>
      <w:r>
        <w:rPr>
          <w:rFonts w:hint="eastAsia"/>
          <w:color w:val="000000" w:themeColor="text1"/>
          <w14:textFill>
            <w14:solidFill>
              <w14:schemeClr w14:val="tx1"/>
            </w14:solidFill>
          </w14:textFill>
        </w:rPr>
        <w:t>”建设持续深化。截</w:t>
      </w:r>
      <w:r>
        <w:rPr>
          <w:rFonts w:hint="eastAsia" w:ascii="Times New Roman" w:hAnsi="Times New Roman" w:cs="Times New Roman"/>
          <w:color w:val="000000" w:themeColor="text1"/>
          <w14:textFill>
            <w14:solidFill>
              <w14:schemeClr w14:val="tx1"/>
            </w14:solidFill>
          </w14:textFill>
        </w:rPr>
        <w:t>至</w:t>
      </w:r>
      <w:r>
        <w:rPr>
          <w:rFonts w:ascii="Times New Roman" w:hAnsi="Times New Roman" w:cs="Times New Roman"/>
          <w:color w:val="000000" w:themeColor="text1"/>
          <w14:textFill>
            <w14:solidFill>
              <w14:schemeClr w14:val="tx1"/>
            </w14:solidFill>
          </w14:textFill>
        </w:rPr>
        <w:t>2020</w:t>
      </w:r>
      <w:r>
        <w:rPr>
          <w:rFonts w:hint="eastAsia" w:ascii="Times New Roman" w:hAnsi="Times New Roman" w:cs="Times New Roman"/>
          <w:color w:val="000000" w:themeColor="text1"/>
          <w14:textFill>
            <w14:solidFill>
              <w14:schemeClr w14:val="tx1"/>
            </w14:solidFill>
          </w14:textFill>
        </w:rPr>
        <w:t>年底</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全</w:t>
      </w:r>
      <w:r>
        <w:rPr>
          <w:rFonts w:hint="eastAsia"/>
          <w:color w:val="000000" w:themeColor="text1"/>
          <w14:textFill>
            <w14:solidFill>
              <w14:schemeClr w14:val="tx1"/>
            </w14:solidFill>
          </w14:textFill>
        </w:rPr>
        <w:t>市“网上办”实现率</w:t>
      </w:r>
      <w:r>
        <w:rPr>
          <w:rFonts w:hint="eastAsia" w:ascii="Times New Roman" w:hAnsi="Times New Roman" w:cs="Times New Roman"/>
          <w:color w:val="000000" w:themeColor="text1"/>
          <w14:textFill>
            <w14:solidFill>
              <w14:schemeClr w14:val="tx1"/>
            </w14:solidFill>
          </w14:textFill>
        </w:rPr>
        <w:t>97.14%</w:t>
      </w:r>
      <w:r>
        <w:rPr>
          <w:rFonts w:hint="eastAsia"/>
          <w:color w:val="000000" w:themeColor="text1"/>
          <w14:textFill>
            <w14:solidFill>
              <w14:schemeClr w14:val="tx1"/>
            </w14:solidFill>
          </w14:textFill>
        </w:rPr>
        <w:t>、“掌上办”实现率</w:t>
      </w:r>
      <w:r>
        <w:rPr>
          <w:rFonts w:hint="eastAsia" w:ascii="Times New Roman" w:hAnsi="Times New Roman" w:cs="Times New Roman"/>
          <w:color w:val="000000" w:themeColor="text1"/>
          <w14:textFill>
            <w14:solidFill>
              <w14:schemeClr w14:val="tx1"/>
            </w14:solidFill>
          </w14:textFill>
        </w:rPr>
        <w:t>95.95%</w:t>
      </w:r>
      <w:r>
        <w:rPr>
          <w:rFonts w:hint="eastAsia"/>
          <w:color w:val="000000" w:themeColor="text1"/>
          <w14:textFill>
            <w14:solidFill>
              <w14:schemeClr w14:val="tx1"/>
            </w14:solidFill>
          </w14:textFill>
        </w:rPr>
        <w:t>、“跑零次”实现率</w:t>
      </w:r>
      <w:r>
        <w:rPr>
          <w:rFonts w:hint="eastAsia" w:ascii="Times New Roman" w:hAnsi="Times New Roman" w:cs="Times New Roman"/>
          <w:color w:val="000000" w:themeColor="text1"/>
          <w14:textFill>
            <w14:solidFill>
              <w14:schemeClr w14:val="tx1"/>
            </w14:solidFill>
          </w14:textFill>
        </w:rPr>
        <w:t>95.71%</w:t>
      </w:r>
      <w:r>
        <w:rPr>
          <w:rFonts w:hint="eastAsia"/>
          <w:color w:val="000000" w:themeColor="text1"/>
          <w14:textFill>
            <w14:solidFill>
              <w14:schemeClr w14:val="tx1"/>
            </w14:solidFill>
          </w14:textFill>
        </w:rPr>
        <w:t>、即办事项比</w:t>
      </w:r>
      <w:r>
        <w:rPr>
          <w:rFonts w:hint="eastAsia" w:ascii="Times New Roman" w:hAnsi="Times New Roman" w:cs="Times New Roman"/>
          <w:color w:val="000000" w:themeColor="text1"/>
          <w14:textFill>
            <w14:solidFill>
              <w14:schemeClr w14:val="tx1"/>
            </w14:solidFill>
          </w14:textFill>
        </w:rPr>
        <w:t>例77.76%、承诺期限压缩比89.9%。</w:t>
      </w:r>
      <w:r>
        <w:rPr>
          <w:rFonts w:hint="eastAsia"/>
          <w:color w:val="000000" w:themeColor="text1"/>
          <w14:textFill>
            <w14:solidFill>
              <w14:schemeClr w14:val="tx1"/>
            </w14:solidFill>
          </w14:textFill>
        </w:rPr>
        <w:t>搭建机关内部“最多跑一次”协同办事系统，公务员“一件事”系统累计办</w:t>
      </w:r>
      <w:r>
        <w:rPr>
          <w:rFonts w:hint="eastAsia" w:ascii="Times New Roman" w:hAnsi="Times New Roman" w:cs="Times New Roman"/>
          <w:color w:val="000000" w:themeColor="text1"/>
          <w14:textFill>
            <w14:solidFill>
              <w14:schemeClr w14:val="tx1"/>
            </w14:solidFill>
          </w14:textFill>
        </w:rPr>
        <w:t>件7158件</w:t>
      </w:r>
      <w:r>
        <w:rPr>
          <w:rFonts w:hint="eastAsia"/>
          <w:color w:val="000000" w:themeColor="text1"/>
          <w14:textFill>
            <w14:solidFill>
              <w14:schemeClr w14:val="tx1"/>
            </w14:solidFill>
          </w14:textFill>
        </w:rPr>
        <w:t>，事业单位“一件事”系统累计办</w:t>
      </w:r>
      <w:r>
        <w:rPr>
          <w:rFonts w:hint="eastAsia" w:ascii="Times New Roman" w:hAnsi="Times New Roman" w:cs="Times New Roman"/>
          <w:color w:val="000000" w:themeColor="text1"/>
          <w14:textFill>
            <w14:solidFill>
              <w14:schemeClr w14:val="tx1"/>
            </w14:solidFill>
          </w14:textFill>
        </w:rPr>
        <w:t>件10878件</w:t>
      </w:r>
      <w:r>
        <w:rPr>
          <w:rFonts w:hint="eastAsia"/>
          <w:color w:val="000000" w:themeColor="text1"/>
          <w14:textFill>
            <w14:solidFill>
              <w14:schemeClr w14:val="tx1"/>
            </w14:solidFill>
          </w14:textFill>
        </w:rPr>
        <w:t>，政务协同能力显著提升。</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多业务协同应用建设卓有成效。</w:t>
      </w:r>
      <w:r>
        <w:rPr>
          <w:rFonts w:hint="eastAsia"/>
          <w:color w:val="000000" w:themeColor="text1"/>
          <w14:textFill>
            <w14:solidFill>
              <w14:schemeClr w14:val="tx1"/>
            </w14:solidFill>
          </w14:textFill>
        </w:rPr>
        <w:t>业务协同模型和数据共享模型贯穿应用到政府运行各个领域，基层创新积极性高涨，业务重塑应用创新取得较好成绩。危化品车辆管理协同应用、空壳公司预警协同应用、交警“</w:t>
      </w:r>
      <w:r>
        <w:rPr>
          <w:rFonts w:hint="eastAsia" w:ascii="Times New Roman" w:hAnsi="Times New Roman" w:cs="Times New Roman"/>
          <w:color w:val="000000" w:themeColor="text1"/>
          <w14:textFill>
            <w14:solidFill>
              <w14:schemeClr w14:val="tx1"/>
            </w14:solidFill>
          </w14:textFill>
        </w:rPr>
        <w:t>e键</w:t>
      </w:r>
      <w:r>
        <w:rPr>
          <w:rFonts w:hint="eastAsia"/>
          <w:color w:val="000000" w:themeColor="text1"/>
          <w14:textFill>
            <w14:solidFill>
              <w14:schemeClr w14:val="tx1"/>
            </w14:solidFill>
          </w14:textFill>
        </w:rPr>
        <w:t>办”应用、义乌市不动产登记“综合创新”应用、市场贸易联网信息应用、大气治理数字化应用等多个项目入选省观星台优秀应用。</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数据归集共享机制</w:t>
      </w:r>
      <w:r>
        <w:rPr>
          <w:b/>
          <w:color w:val="000000" w:themeColor="text1"/>
          <w14:textFill>
            <w14:solidFill>
              <w14:schemeClr w14:val="tx1"/>
            </w14:solidFill>
          </w14:textFill>
        </w:rPr>
        <w:t>不断完善</w:t>
      </w:r>
      <w:r>
        <w:rPr>
          <w:rFonts w:hint="eastAsia"/>
          <w:b/>
          <w:color w:val="000000" w:themeColor="text1"/>
          <w14:textFill>
            <w14:solidFill>
              <w14:schemeClr w14:val="tx1"/>
            </w14:solidFill>
          </w14:textFill>
        </w:rPr>
        <w:t>。</w:t>
      </w:r>
      <w:r>
        <w:rPr>
          <w:rFonts w:hint="eastAsia"/>
          <w:color w:val="000000" w:themeColor="text1"/>
          <w14:textFill>
            <w14:solidFill>
              <w14:schemeClr w14:val="tx1"/>
            </w14:solidFill>
          </w14:textFill>
        </w:rPr>
        <w:t>开展数据治理“百日攻坚”、争取省“数据回家”试点，建立“三个体系”（ 政务数据目录体系、数据资源共享体系、数据安全保障体系）、“两个平台”（ 数据共享交换平台、公共数据开放平台），为政府数字化转型提供强大的数据支撑。积极拓展电子证照、电子签名和电子印章等电子化应用，加快移动端应用整合，数据共享和开放水平不断提升，“数据跑”代替“群众跑”效果明显。在《</w:t>
      </w:r>
      <w:r>
        <w:rPr>
          <w:rFonts w:hint="eastAsia" w:ascii="Times New Roman" w:hAnsi="Times New Roman" w:cs="Times New Roman"/>
          <w:color w:val="000000" w:themeColor="text1"/>
          <w14:textFill>
            <w14:solidFill>
              <w14:schemeClr w14:val="tx1"/>
            </w14:solidFill>
          </w14:textFill>
        </w:rPr>
        <w:t>2020</w:t>
      </w:r>
      <w:r>
        <w:rPr>
          <w:rFonts w:hint="eastAsia"/>
          <w:color w:val="000000" w:themeColor="text1"/>
          <w14:textFill>
            <w14:solidFill>
              <w14:schemeClr w14:val="tx1"/>
            </w14:solidFill>
          </w14:textFill>
        </w:rPr>
        <w:t>长三角政府数据开放一体化报告》中，金华数据开放指数在长三角开展公共数据开放的</w:t>
      </w:r>
      <w:r>
        <w:rPr>
          <w:rFonts w:hint="eastAsia" w:ascii="Times New Roman" w:hAnsi="Times New Roman" w:cs="Times New Roman"/>
          <w:color w:val="000000" w:themeColor="text1"/>
          <w14:textFill>
            <w14:solidFill>
              <w14:schemeClr w14:val="tx1"/>
            </w14:solidFill>
          </w14:textFill>
        </w:rPr>
        <w:t>29个</w:t>
      </w:r>
      <w:r>
        <w:rPr>
          <w:rFonts w:hint="eastAsia"/>
          <w:color w:val="000000" w:themeColor="text1"/>
          <w14:textFill>
            <w14:solidFill>
              <w14:schemeClr w14:val="tx1"/>
            </w14:solidFill>
          </w14:textFill>
        </w:rPr>
        <w:t>地市中排第七位。</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信息基础</w:t>
      </w:r>
      <w:r>
        <w:rPr>
          <w:b/>
          <w:color w:val="000000" w:themeColor="text1"/>
          <w14:textFill>
            <w14:solidFill>
              <w14:schemeClr w14:val="tx1"/>
            </w14:solidFill>
          </w14:textFill>
        </w:rPr>
        <w:t>设施日渐</w:t>
      </w:r>
      <w:r>
        <w:rPr>
          <w:rFonts w:hint="eastAsia"/>
          <w:b/>
          <w:color w:val="000000" w:themeColor="text1"/>
          <w14:textFill>
            <w14:solidFill>
              <w14:schemeClr w14:val="tx1"/>
            </w14:solidFill>
          </w14:textFill>
        </w:rPr>
        <w:t>夯实</w:t>
      </w:r>
      <w:r>
        <w:rPr>
          <w:b/>
          <w:color w:val="000000" w:themeColor="text1"/>
          <w14:textFill>
            <w14:solidFill>
              <w14:schemeClr w14:val="tx1"/>
            </w14:solidFill>
          </w14:textFill>
        </w:rPr>
        <w:t>。</w:t>
      </w:r>
      <w:r>
        <w:rPr>
          <w:rFonts w:hint="eastAsia"/>
          <w:color w:val="000000" w:themeColor="text1"/>
          <w14:textFill>
            <w14:solidFill>
              <w14:schemeClr w14:val="tx1"/>
            </w14:solidFill>
          </w14:textFill>
        </w:rPr>
        <w:t>全</w:t>
      </w:r>
      <w:r>
        <w:rPr>
          <w:color w:val="000000" w:themeColor="text1"/>
          <w14:textFill>
            <w14:solidFill>
              <w14:schemeClr w14:val="tx1"/>
            </w14:solidFill>
          </w14:textFill>
        </w:rPr>
        <w:t>市</w:t>
      </w:r>
      <w:r>
        <w:rPr>
          <w:rFonts w:hint="eastAsia"/>
          <w:color w:val="000000" w:themeColor="text1"/>
          <w14:textFill>
            <w14:solidFill>
              <w14:schemeClr w14:val="tx1"/>
            </w14:solidFill>
          </w14:textFill>
        </w:rPr>
        <w:t>物联</w:t>
      </w:r>
      <w:r>
        <w:rPr>
          <w:color w:val="000000" w:themeColor="text1"/>
          <w14:textFill>
            <w14:solidFill>
              <w14:schemeClr w14:val="tx1"/>
            </w14:solidFill>
          </w14:textFill>
        </w:rPr>
        <w:t>感知网络</w:t>
      </w:r>
      <w:r>
        <w:rPr>
          <w:rFonts w:hint="eastAsia"/>
          <w:color w:val="000000" w:themeColor="text1"/>
          <w14:textFill>
            <w14:solidFill>
              <w14:schemeClr w14:val="tx1"/>
            </w14:solidFill>
          </w14:textFill>
        </w:rPr>
        <w:t>初具规模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治安</w:t>
      </w:r>
      <w:r>
        <w:rPr>
          <w:color w:val="000000" w:themeColor="text1"/>
          <w14:textFill>
            <w14:solidFill>
              <w14:schemeClr w14:val="tx1"/>
            </w14:solidFill>
          </w14:textFill>
        </w:rPr>
        <w:t>安防、</w:t>
      </w: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监测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安全生产等方面感知</w:t>
      </w:r>
      <w:r>
        <w:rPr>
          <w:rFonts w:hint="eastAsia"/>
          <w:color w:val="000000" w:themeColor="text1"/>
          <w14:textFill>
            <w14:solidFill>
              <w14:schemeClr w14:val="tx1"/>
            </w14:solidFill>
          </w14:textFill>
        </w:rPr>
        <w:t>终端</w:t>
      </w:r>
      <w:r>
        <w:rPr>
          <w:color w:val="000000" w:themeColor="text1"/>
          <w14:textFill>
            <w14:solidFill>
              <w14:schemeClr w14:val="tx1"/>
            </w14:solidFill>
          </w14:textFill>
        </w:rPr>
        <w:t>广泛覆盖。</w:t>
      </w:r>
      <w:r>
        <w:rPr>
          <w:rFonts w:hint="eastAsia"/>
          <w:color w:val="000000" w:themeColor="text1"/>
          <w14:textFill>
            <w14:solidFill>
              <w14:schemeClr w14:val="tx1"/>
            </w14:solidFill>
          </w14:textFill>
        </w:rPr>
        <w:t>部门</w:t>
      </w:r>
      <w:r>
        <w:rPr>
          <w:color w:val="000000" w:themeColor="text1"/>
          <w14:textFill>
            <w14:solidFill>
              <w14:schemeClr w14:val="tx1"/>
            </w14:solidFill>
          </w14:textFill>
        </w:rPr>
        <w:t>业务专网加快整合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电子政务外网横向覆盖所有市级党政机关单位，并延伸至乡镇、街道、社区</w:t>
      </w:r>
      <w:r>
        <w:rPr>
          <w:rFonts w:hint="eastAsia"/>
          <w:color w:val="000000" w:themeColor="text1"/>
          <w14:textFill>
            <w14:solidFill>
              <w14:schemeClr w14:val="tx1"/>
            </w14:solidFill>
          </w14:textFill>
        </w:rPr>
        <w:t>。政务云独立部署网络、安全、服务器、存储等基础硬件设施和云软件，并提供第三方安全服务，截</w:t>
      </w:r>
      <w:r>
        <w:rPr>
          <w:rFonts w:hint="eastAsia" w:ascii="Times New Roman" w:hAnsi="Times New Roman" w:cs="Times New Roman"/>
          <w:color w:val="000000" w:themeColor="text1"/>
          <w14:textFill>
            <w14:solidFill>
              <w14:schemeClr w14:val="tx1"/>
            </w14:solidFill>
          </w14:textFill>
        </w:rPr>
        <w:t>至2</w:t>
      </w:r>
      <w:r>
        <w:rPr>
          <w:rFonts w:ascii="Times New Roman" w:hAnsi="Times New Roman" w:cs="Times New Roman"/>
          <w:color w:val="000000" w:themeColor="text1"/>
          <w14:textFill>
            <w14:solidFill>
              <w14:schemeClr w14:val="tx1"/>
            </w14:solidFill>
          </w14:textFill>
        </w:rPr>
        <w:t>020年</w:t>
      </w:r>
      <w:r>
        <w:rPr>
          <w:rFonts w:hint="eastAsia" w:ascii="Times New Roman" w:hAnsi="Times New Roman" w:cs="Times New Roman"/>
          <w:color w:val="000000" w:themeColor="text1"/>
          <w14:textFill>
            <w14:solidFill>
              <w14:schemeClr w14:val="tx1"/>
            </w14:solidFill>
          </w14:textFill>
        </w:rPr>
        <w:t>底</w:t>
      </w:r>
      <w:r>
        <w:rPr>
          <w:rFonts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全面覆盖全市</w:t>
      </w:r>
      <w:r>
        <w:rPr>
          <w:rFonts w:ascii="Times New Roman" w:hAnsi="Times New Roman" w:cs="Times New Roman"/>
          <w:color w:val="000000" w:themeColor="text1"/>
          <w14:textFill>
            <w14:solidFill>
              <w14:schemeClr w14:val="tx1"/>
            </w14:solidFill>
          </w14:textFill>
        </w:rPr>
        <w:t>218</w:t>
      </w:r>
      <w:r>
        <w:rPr>
          <w:rFonts w:hint="eastAsia" w:ascii="Times New Roman" w:hAnsi="Times New Roman" w:cs="Times New Roman"/>
          <w:color w:val="000000" w:themeColor="text1"/>
          <w14:textFill>
            <w14:solidFill>
              <w14:schemeClr w14:val="tx1"/>
            </w14:solidFill>
          </w14:textFill>
        </w:rPr>
        <w:t>个</w:t>
      </w:r>
      <w:r>
        <w:rPr>
          <w:rFonts w:hint="eastAsia"/>
          <w:color w:val="000000" w:themeColor="text1"/>
          <w14:textFill>
            <w14:solidFill>
              <w14:schemeClr w14:val="tx1"/>
            </w14:solidFill>
          </w14:textFill>
        </w:rPr>
        <w:t>重点部门的</w:t>
      </w:r>
      <w:r>
        <w:rPr>
          <w:rFonts w:ascii="Times New Roman" w:hAnsi="Times New Roman" w:cs="Times New Roman"/>
          <w:color w:val="000000" w:themeColor="text1"/>
          <w14:textFill>
            <w14:solidFill>
              <w14:schemeClr w14:val="tx1"/>
            </w14:solidFill>
          </w14:textFill>
        </w:rPr>
        <w:t>375</w:t>
      </w:r>
      <w:r>
        <w:rPr>
          <w:rFonts w:hint="eastAsia" w:ascii="Times New Roman" w:hAnsi="Times New Roman" w:cs="Times New Roman"/>
          <w:color w:val="000000" w:themeColor="text1"/>
          <w14:textFill>
            <w14:solidFill>
              <w14:schemeClr w14:val="tx1"/>
            </w14:solidFill>
          </w14:textFill>
        </w:rPr>
        <w:t>个重</w:t>
      </w:r>
      <w:r>
        <w:rPr>
          <w:rFonts w:hint="eastAsia"/>
          <w:color w:val="000000" w:themeColor="text1"/>
          <w14:textFill>
            <w14:solidFill>
              <w14:schemeClr w14:val="tx1"/>
            </w14:solidFill>
          </w14:textFill>
        </w:rPr>
        <w:t>要业务应用，为全市政府部门提供可信的应用系统承载和大数据服务支撑。</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组织机构和推进机制初步建立。</w:t>
      </w:r>
      <w:r>
        <w:rPr>
          <w:rFonts w:hint="eastAsia" w:ascii="Times New Roman" w:hAnsi="Times New Roman" w:cs="Times New Roman"/>
          <w:color w:val="000000" w:themeColor="text1"/>
          <w14:textFill>
            <w14:solidFill>
              <w14:schemeClr w14:val="tx1"/>
            </w14:solidFill>
          </w14:textFill>
        </w:rPr>
        <w:t>2019年</w:t>
      </w: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月</w:t>
      </w:r>
      <w:r>
        <w:rPr>
          <w:rFonts w:ascii="Times New Roman" w:hAnsi="Times New Roman" w:cs="Times New Roman"/>
          <w:color w:val="000000" w:themeColor="text1"/>
          <w14:textFill>
            <w14:solidFill>
              <w14:schemeClr w14:val="tx1"/>
            </w14:solidFill>
          </w14:textFill>
        </w:rPr>
        <w:t>11</w:t>
      </w:r>
      <w:r>
        <w:rPr>
          <w:rFonts w:hint="eastAsia" w:ascii="Times New Roman" w:hAnsi="Times New Roman" w:cs="Times New Roman"/>
          <w:color w:val="000000" w:themeColor="text1"/>
          <w14:textFill>
            <w14:solidFill>
              <w14:schemeClr w14:val="tx1"/>
            </w14:solidFill>
          </w14:textFill>
        </w:rPr>
        <w:t>日</w:t>
      </w:r>
      <w:r>
        <w:rPr>
          <w:rFonts w:ascii="Times New Roman" w:hAnsi="Times New Roman" w:cs="Times New Roman"/>
          <w:color w:val="000000" w:themeColor="text1"/>
          <w14:textFill>
            <w14:solidFill>
              <w14:schemeClr w14:val="tx1"/>
            </w14:solidFill>
          </w14:textFill>
        </w:rPr>
        <w:t>成</w:t>
      </w:r>
      <w:r>
        <w:rPr>
          <w:color w:val="000000" w:themeColor="text1"/>
          <w14:textFill>
            <w14:solidFill>
              <w14:schemeClr w14:val="tx1"/>
            </w14:solidFill>
          </w14:textFill>
        </w:rPr>
        <w:t>立</w:t>
      </w:r>
      <w:r>
        <w:rPr>
          <w:rFonts w:hint="eastAsia"/>
          <w:color w:val="000000" w:themeColor="text1"/>
          <w14:textFill>
            <w14:solidFill>
              <w14:schemeClr w14:val="tx1"/>
            </w14:solidFill>
          </w14:textFill>
        </w:rPr>
        <w:t>金华市大数据发展管理局，负责推进政府数字化转型和大数据资源管理等工作。各县（市、区）相继</w:t>
      </w:r>
      <w:r>
        <w:rPr>
          <w:color w:val="000000" w:themeColor="text1"/>
          <w14:textFill>
            <w14:solidFill>
              <w14:schemeClr w14:val="tx1"/>
            </w14:solidFill>
          </w14:textFill>
        </w:rPr>
        <w:t>成立大数据局（中心），</w:t>
      </w:r>
      <w:r>
        <w:rPr>
          <w:rFonts w:hint="eastAsia"/>
          <w:color w:val="000000" w:themeColor="text1"/>
          <w14:textFill>
            <w14:solidFill>
              <w14:schemeClr w14:val="tx1"/>
            </w14:solidFill>
          </w14:textFill>
        </w:rPr>
        <w:t>横向联动、纵向协同的数字政府专业化组织机构和推进机制初步形成。推动市属国企与中电莱斯信息系统有限公司组建数字金华运营有限公司，为全市政府数字化改革提供技术支撑和服务。</w:t>
      </w:r>
    </w:p>
    <w:p>
      <w:pPr>
        <w:pStyle w:val="4"/>
        <w:numPr>
          <w:ilvl w:val="0"/>
          <w:numId w:val="0"/>
        </w:numPr>
        <w:ind w:firstLine="640" w:firstLineChars="200"/>
        <w:rPr>
          <w:rFonts w:ascii="楷体" w:hAnsi="楷体"/>
          <w:b w:val="0"/>
          <w:color w:val="000000" w:themeColor="text1"/>
          <w14:textFill>
            <w14:solidFill>
              <w14:schemeClr w14:val="tx1"/>
            </w14:solidFill>
          </w14:textFill>
        </w:rPr>
      </w:pPr>
      <w:bookmarkStart w:id="6" w:name="_Toc84600821"/>
      <w:r>
        <w:rPr>
          <w:rFonts w:ascii="楷体" w:hAnsi="楷体"/>
          <w:b w:val="0"/>
          <w:color w:val="000000" w:themeColor="text1"/>
          <w14:textFill>
            <w14:solidFill>
              <w14:schemeClr w14:val="tx1"/>
            </w14:solidFill>
          </w14:textFill>
        </w:rPr>
        <w:t>（三）</w:t>
      </w:r>
      <w:r>
        <w:rPr>
          <w:rFonts w:hint="eastAsia" w:ascii="楷体" w:hAnsi="楷体"/>
          <w:b w:val="0"/>
          <w:color w:val="000000" w:themeColor="text1"/>
          <w14:textFill>
            <w14:solidFill>
              <w14:schemeClr w14:val="tx1"/>
            </w14:solidFill>
          </w14:textFill>
        </w:rPr>
        <w:t>主要问题</w:t>
      </w:r>
      <w:bookmarkEnd w:id="6"/>
    </w:p>
    <w:p>
      <w:pPr>
        <w:pStyle w:val="33"/>
        <w:ind w:firstLine="643"/>
        <w:rPr>
          <w:color w:val="000000" w:themeColor="text1"/>
          <w14:textFill>
            <w14:solidFill>
              <w14:schemeClr w14:val="tx1"/>
            </w14:solidFill>
          </w14:textFill>
        </w:rPr>
      </w:pPr>
      <w:r>
        <w:rPr>
          <w:b/>
          <w:color w:val="000000" w:themeColor="text1"/>
          <w14:textFill>
            <w14:solidFill>
              <w14:schemeClr w14:val="tx1"/>
            </w14:solidFill>
          </w14:textFill>
        </w:rPr>
        <w:t>政府</w:t>
      </w:r>
      <w:r>
        <w:rPr>
          <w:rFonts w:hint="eastAsia"/>
          <w:b/>
          <w:color w:val="000000" w:themeColor="text1"/>
          <w14:textFill>
            <w14:solidFill>
              <w14:schemeClr w14:val="tx1"/>
            </w14:solidFill>
          </w14:textFill>
        </w:rPr>
        <w:t>整体智治能力有待加强</w:t>
      </w:r>
      <w:r>
        <w:rPr>
          <w:rFonts w:hint="eastAsia"/>
          <w:color w:val="000000" w:themeColor="text1"/>
          <w14:textFill>
            <w14:solidFill>
              <w14:schemeClr w14:val="tx1"/>
            </w14:solidFill>
          </w14:textFill>
        </w:rPr>
        <w:t>。以群众和企业为中心的综合智慧应用有待完善提升，部分业务协同运行管理存在部门壁垒，整体政府观念有待加强，多元主体参与决策的制度有待完善，综合智能化决策能力有待提升。</w:t>
      </w:r>
    </w:p>
    <w:p>
      <w:pPr>
        <w:pStyle w:val="33"/>
        <w:ind w:firstLine="643"/>
        <w:rPr>
          <w:color w:val="000000" w:themeColor="text1"/>
          <w14:textFill>
            <w14:solidFill>
              <w14:schemeClr w14:val="tx1"/>
            </w14:solidFill>
          </w14:textFill>
        </w:rPr>
      </w:pPr>
      <w:r>
        <w:rPr>
          <w:b/>
          <w:color w:val="000000" w:themeColor="text1"/>
          <w14:textFill>
            <w14:solidFill>
              <w14:schemeClr w14:val="tx1"/>
            </w14:solidFill>
          </w14:textFill>
        </w:rPr>
        <w:t>协同治理模式有待</w:t>
      </w:r>
      <w:r>
        <w:rPr>
          <w:rFonts w:hint="eastAsia"/>
          <w:b/>
          <w:color w:val="000000" w:themeColor="text1"/>
          <w14:textFill>
            <w14:solidFill>
              <w14:schemeClr w14:val="tx1"/>
            </w14:solidFill>
          </w14:textFill>
        </w:rPr>
        <w:t>完善。</w:t>
      </w:r>
      <w:r>
        <w:rPr>
          <w:rFonts w:hint="eastAsia"/>
          <w:color w:val="000000" w:themeColor="text1"/>
          <w14:textFill>
            <w14:solidFill>
              <w14:schemeClr w14:val="tx1"/>
            </w14:solidFill>
          </w14:textFill>
        </w:rPr>
        <w:t>部门与部门之间部分业务系统未有效打通、数据资源未充分共享、信息化建设进展不平衡、业务流程再造的数字化支撑不够，政府协同治理模式有待完善，协同治理能力有待提高</w:t>
      </w:r>
      <w:r>
        <w:rPr>
          <w:color w:val="000000" w:themeColor="text1"/>
          <w14:textFill>
            <w14:solidFill>
              <w14:schemeClr w14:val="tx1"/>
            </w14:solidFill>
          </w14:textFill>
        </w:rPr>
        <w:t>。</w:t>
      </w:r>
    </w:p>
    <w:p>
      <w:pPr>
        <w:pStyle w:val="33"/>
        <w:ind w:firstLine="643"/>
        <w:rPr>
          <w:b/>
          <w:color w:val="000000" w:themeColor="text1"/>
          <w14:textFill>
            <w14:solidFill>
              <w14:schemeClr w14:val="tx1"/>
            </w14:solidFill>
          </w14:textFill>
        </w:rPr>
      </w:pPr>
      <w:r>
        <w:rPr>
          <w:rFonts w:hint="eastAsia"/>
          <w:b/>
          <w:color w:val="000000" w:themeColor="text1"/>
          <w14:textFill>
            <w14:solidFill>
              <w14:schemeClr w14:val="tx1"/>
            </w14:solidFill>
          </w14:textFill>
        </w:rPr>
        <w:t>政府</w:t>
      </w:r>
      <w:r>
        <w:rPr>
          <w:b/>
          <w:color w:val="000000" w:themeColor="text1"/>
          <w14:textFill>
            <w14:solidFill>
              <w14:schemeClr w14:val="tx1"/>
            </w14:solidFill>
          </w14:textFill>
        </w:rPr>
        <w:t>服务能力有待提升</w:t>
      </w:r>
      <w:r>
        <w:rPr>
          <w:rFonts w:hint="eastAsia"/>
          <w:b/>
          <w:color w:val="000000" w:themeColor="text1"/>
          <w14:textFill>
            <w14:solidFill>
              <w14:schemeClr w14:val="tx1"/>
            </w14:solidFill>
          </w14:textFill>
        </w:rPr>
        <w:t>。</w:t>
      </w:r>
      <w:r>
        <w:rPr>
          <w:rFonts w:hint="eastAsia"/>
          <w:color w:val="000000" w:themeColor="text1"/>
          <w14:textFill>
            <w14:solidFill>
              <w14:schemeClr w14:val="tx1"/>
            </w14:solidFill>
          </w14:textFill>
        </w:rPr>
        <w:t>“一网通办”事项需进一步深化，线上线下融合度不够，仍有部分系统尚未实现贯通。“掌上办事”便利度需要进一步提高，对特殊群体个性化服务有待加强。</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数据服务</w:t>
      </w:r>
      <w:r>
        <w:rPr>
          <w:b/>
          <w:color w:val="000000" w:themeColor="text1"/>
          <w14:textFill>
            <w14:solidFill>
              <w14:schemeClr w14:val="tx1"/>
            </w14:solidFill>
          </w14:textFill>
        </w:rPr>
        <w:t>能力有</w:t>
      </w:r>
      <w:r>
        <w:rPr>
          <w:rFonts w:hint="eastAsia"/>
          <w:b/>
          <w:color w:val="000000" w:themeColor="text1"/>
          <w14:textFill>
            <w14:solidFill>
              <w14:schemeClr w14:val="tx1"/>
            </w14:solidFill>
          </w14:textFill>
        </w:rPr>
        <w:t>待提高。</w:t>
      </w:r>
      <w:r>
        <w:rPr>
          <w:rFonts w:hint="eastAsia"/>
          <w:color w:val="000000" w:themeColor="text1"/>
          <w14:textFill>
            <w14:solidFill>
              <w14:schemeClr w14:val="tx1"/>
            </w14:solidFill>
          </w14:textFill>
        </w:rPr>
        <w:t>部门间数据共享机制有待完善，受垂直业务管理模式等影响，部分数据回流困难，全方位的数据资源共享交换较难</w:t>
      </w:r>
      <w:r>
        <w:rPr>
          <w:color w:val="000000" w:themeColor="text1"/>
          <w14:textFill>
            <w14:solidFill>
              <w14:schemeClr w14:val="tx1"/>
            </w14:solidFill>
          </w14:textFill>
        </w:rPr>
        <w:t>实现</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标准不统一，数据泛滥导致数据质量不可控</w:t>
      </w:r>
      <w:r>
        <w:rPr>
          <w:rFonts w:hint="eastAsia"/>
          <w:color w:val="000000" w:themeColor="text1"/>
          <w14:textFill>
            <w14:solidFill>
              <w14:schemeClr w14:val="tx1"/>
            </w14:solidFill>
          </w14:textFill>
        </w:rPr>
        <w:t>；数据开放力度不强，数据资源价值有待激活；“城市大脑”等大数据分析平台正在建设中，智能辅助决策能力亟待提升。</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基础</w:t>
      </w:r>
      <w:r>
        <w:rPr>
          <w:b/>
          <w:color w:val="000000" w:themeColor="text1"/>
          <w14:textFill>
            <w14:solidFill>
              <w14:schemeClr w14:val="tx1"/>
            </w14:solidFill>
          </w14:textFill>
        </w:rPr>
        <w:t>设施建设有</w:t>
      </w:r>
      <w:r>
        <w:rPr>
          <w:rFonts w:hint="eastAsia"/>
          <w:b/>
          <w:color w:val="000000" w:themeColor="text1"/>
          <w14:textFill>
            <w14:solidFill>
              <w14:schemeClr w14:val="tx1"/>
            </w14:solidFill>
          </w14:textFill>
        </w:rPr>
        <w:t>待整合。</w:t>
      </w:r>
      <w:r>
        <w:rPr>
          <w:rFonts w:hint="eastAsia"/>
          <w:color w:val="000000" w:themeColor="text1"/>
          <w14:textFill>
            <w14:solidFill>
              <w14:schemeClr w14:val="tx1"/>
            </w14:solidFill>
          </w14:textFill>
        </w:rPr>
        <w:t>信息基础设施多头申报、重复建设等现象仍</w:t>
      </w:r>
      <w:r>
        <w:rPr>
          <w:color w:val="000000" w:themeColor="text1"/>
          <w14:textFill>
            <w14:solidFill>
              <w14:schemeClr w14:val="tx1"/>
            </w14:solidFill>
          </w14:textFill>
        </w:rPr>
        <w:t>存在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网、云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端资源</w:t>
      </w:r>
      <w:r>
        <w:rPr>
          <w:rFonts w:hint="eastAsia"/>
          <w:color w:val="000000" w:themeColor="text1"/>
          <w14:textFill>
            <w14:solidFill>
              <w14:schemeClr w14:val="tx1"/>
            </w14:solidFill>
          </w14:textFill>
        </w:rPr>
        <w:t>需</w:t>
      </w:r>
      <w:r>
        <w:rPr>
          <w:color w:val="000000" w:themeColor="text1"/>
          <w14:textFill>
            <w14:solidFill>
              <w14:schemeClr w14:val="tx1"/>
            </w14:solidFill>
          </w14:textFill>
        </w:rPr>
        <w:t>进一步整合共享；</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稳定性不足、</w:t>
      </w:r>
      <w:r>
        <w:rPr>
          <w:rFonts w:hint="eastAsia" w:ascii="Times New Roman" w:hAnsi="Times New Roman" w:cs="Times New Roman"/>
          <w:color w:val="000000" w:themeColor="text1"/>
          <w14:textFill>
            <w14:solidFill>
              <w14:schemeClr w14:val="tx1"/>
            </w14:solidFill>
          </w14:textFill>
        </w:rPr>
        <w:t>IPv6升</w:t>
      </w:r>
      <w:r>
        <w:rPr>
          <w:rFonts w:hint="eastAsia"/>
          <w:color w:val="000000" w:themeColor="text1"/>
          <w14:textFill>
            <w14:solidFill>
              <w14:schemeClr w14:val="tx1"/>
            </w14:solidFill>
          </w14:textFill>
        </w:rPr>
        <w:t>级改造难</w:t>
      </w:r>
      <w:r>
        <w:rPr>
          <w:color w:val="000000" w:themeColor="text1"/>
          <w14:textFill>
            <w14:solidFill>
              <w14:schemeClr w14:val="tx1"/>
            </w14:solidFill>
          </w14:textFill>
        </w:rPr>
        <w:t>等问题</w:t>
      </w:r>
      <w:r>
        <w:rPr>
          <w:rFonts w:hint="eastAsia"/>
          <w:color w:val="000000" w:themeColor="text1"/>
          <w14:textFill>
            <w14:solidFill>
              <w14:schemeClr w14:val="tx1"/>
            </w14:solidFill>
          </w14:textFill>
        </w:rPr>
        <w:t>亟需</w:t>
      </w:r>
      <w:r>
        <w:rPr>
          <w:color w:val="000000" w:themeColor="text1"/>
          <w14:textFill>
            <w14:solidFill>
              <w14:schemeClr w14:val="tx1"/>
            </w14:solidFill>
          </w14:textFill>
        </w:rPr>
        <w:t>解决</w:t>
      </w:r>
      <w:r>
        <w:rPr>
          <w:rFonts w:hint="eastAsia"/>
          <w:color w:val="000000" w:themeColor="text1"/>
          <w14:textFill>
            <w14:solidFill>
              <w14:schemeClr w14:val="tx1"/>
            </w14:solidFill>
          </w14:textFill>
        </w:rPr>
        <w:t>；全方位、多层次、一致性的自主可控网络安全防护体系尚未形成。</w:t>
      </w:r>
    </w:p>
    <w:p>
      <w:pPr>
        <w:pStyle w:val="33"/>
        <w:ind w:firstLine="643"/>
        <w:rPr>
          <w:rFonts w:eastAsia="黑体"/>
          <w:bCs/>
          <w:color w:val="000000" w:themeColor="text1"/>
          <w:kern w:val="44"/>
          <w:szCs w:val="44"/>
          <w14:textFill>
            <w14:solidFill>
              <w14:schemeClr w14:val="tx1"/>
            </w14:solidFill>
          </w14:textFill>
        </w:rPr>
      </w:pPr>
      <w:r>
        <w:rPr>
          <w:rFonts w:hint="eastAsia"/>
          <w:b/>
          <w:color w:val="000000" w:themeColor="text1"/>
          <w14:textFill>
            <w14:solidFill>
              <w14:schemeClr w14:val="tx1"/>
            </w14:solidFill>
          </w14:textFill>
        </w:rPr>
        <w:t>体制机制改革有待深化。</w:t>
      </w:r>
      <w:r>
        <w:rPr>
          <w:rFonts w:hint="eastAsia"/>
          <w:color w:val="000000" w:themeColor="text1"/>
          <w14:textFill>
            <w14:solidFill>
              <w14:schemeClr w14:val="tx1"/>
            </w14:solidFill>
          </w14:textFill>
        </w:rPr>
        <w:t>部分</w:t>
      </w:r>
      <w:r>
        <w:rPr>
          <w:color w:val="000000" w:themeColor="text1"/>
          <w14:textFill>
            <w14:solidFill>
              <w14:schemeClr w14:val="tx1"/>
            </w14:solidFill>
          </w14:textFill>
        </w:rPr>
        <w:t>委办局</w:t>
      </w:r>
      <w:r>
        <w:rPr>
          <w:rFonts w:hint="eastAsia"/>
          <w:color w:val="000000" w:themeColor="text1"/>
          <w14:textFill>
            <w14:solidFill>
              <w14:schemeClr w14:val="tx1"/>
            </w14:solidFill>
          </w14:textFill>
        </w:rPr>
        <w:t>尚无数字</w:t>
      </w:r>
      <w:r>
        <w:rPr>
          <w:color w:val="000000" w:themeColor="text1"/>
          <w14:textFill>
            <w14:solidFill>
              <w14:schemeClr w14:val="tx1"/>
            </w14:solidFill>
          </w14:textFill>
        </w:rPr>
        <w:t>化处室，</w:t>
      </w:r>
      <w:r>
        <w:rPr>
          <w:rFonts w:hint="eastAsia"/>
          <w:color w:val="000000" w:themeColor="text1"/>
          <w14:textFill>
            <w14:solidFill>
              <w14:schemeClr w14:val="tx1"/>
            </w14:solidFill>
          </w14:textFill>
        </w:rPr>
        <w:t>数字化专业</w:t>
      </w:r>
      <w:r>
        <w:rPr>
          <w:color w:val="000000" w:themeColor="text1"/>
          <w14:textFill>
            <w14:solidFill>
              <w14:schemeClr w14:val="tx1"/>
            </w14:solidFill>
          </w14:textFill>
        </w:rPr>
        <w:t>人员</w:t>
      </w:r>
      <w:r>
        <w:rPr>
          <w:rFonts w:hint="eastAsia"/>
          <w:color w:val="000000" w:themeColor="text1"/>
          <w14:textFill>
            <w14:solidFill>
              <w14:schemeClr w14:val="tx1"/>
            </w14:solidFill>
          </w14:textFill>
        </w:rPr>
        <w:t>数量</w:t>
      </w:r>
      <w:r>
        <w:rPr>
          <w:color w:val="000000" w:themeColor="text1"/>
          <w14:textFill>
            <w14:solidFill>
              <w14:schemeClr w14:val="tx1"/>
            </w14:solidFill>
          </w14:textFill>
        </w:rPr>
        <w:t>不足、</w:t>
      </w:r>
      <w:r>
        <w:rPr>
          <w:rFonts w:hint="eastAsia"/>
          <w:color w:val="000000" w:themeColor="text1"/>
          <w14:textFill>
            <w14:solidFill>
              <w14:schemeClr w14:val="tx1"/>
            </w14:solidFill>
          </w14:textFill>
        </w:rPr>
        <w:t>能力</w:t>
      </w:r>
      <w:r>
        <w:rPr>
          <w:color w:val="000000" w:themeColor="text1"/>
          <w14:textFill>
            <w14:solidFill>
              <w14:schemeClr w14:val="tx1"/>
            </w14:solidFill>
          </w14:textFill>
        </w:rPr>
        <w:t>不</w:t>
      </w:r>
      <w:r>
        <w:rPr>
          <w:rFonts w:hint="eastAsia"/>
          <w:color w:val="000000" w:themeColor="text1"/>
          <w14:textFill>
            <w14:solidFill>
              <w14:schemeClr w14:val="tx1"/>
            </w14:solidFill>
          </w14:textFill>
        </w:rPr>
        <w:t>够</w:t>
      </w:r>
      <w:r>
        <w:rPr>
          <w:color w:val="000000" w:themeColor="text1"/>
          <w14:textFill>
            <w14:solidFill>
              <w14:schemeClr w14:val="tx1"/>
            </w14:solidFill>
          </w14:textFill>
        </w:rPr>
        <w:t>的问题</w:t>
      </w:r>
      <w:r>
        <w:rPr>
          <w:rFonts w:hint="eastAsia"/>
          <w:color w:val="000000" w:themeColor="text1"/>
          <w14:textFill>
            <w14:solidFill>
              <w14:schemeClr w14:val="tx1"/>
            </w14:solidFill>
          </w14:textFill>
        </w:rPr>
        <w:t>突出；横向</w:t>
      </w:r>
      <w:r>
        <w:rPr>
          <w:color w:val="000000" w:themeColor="text1"/>
          <w14:textFill>
            <w14:solidFill>
              <w14:schemeClr w14:val="tx1"/>
            </w14:solidFill>
          </w14:textFill>
        </w:rPr>
        <w:t>部门之间职责分工、协同机制、考核标准等不明确，</w:t>
      </w:r>
      <w:r>
        <w:rPr>
          <w:rFonts w:hint="eastAsia"/>
          <w:color w:val="000000" w:themeColor="text1"/>
          <w14:textFill>
            <w14:solidFill>
              <w14:schemeClr w14:val="tx1"/>
            </w14:solidFill>
          </w14:textFill>
        </w:rPr>
        <w:t>数字</w:t>
      </w:r>
      <w:r>
        <w:rPr>
          <w:color w:val="000000" w:themeColor="text1"/>
          <w14:textFill>
            <w14:solidFill>
              <w14:schemeClr w14:val="tx1"/>
            </w14:solidFill>
          </w14:textFill>
        </w:rPr>
        <w:t>政府建设统筹</w:t>
      </w:r>
      <w:r>
        <w:rPr>
          <w:rFonts w:hint="eastAsia"/>
          <w:color w:val="000000" w:themeColor="text1"/>
          <w14:textFill>
            <w14:solidFill>
              <w14:schemeClr w14:val="tx1"/>
            </w14:solidFill>
          </w14:textFill>
        </w:rPr>
        <w:t>推进存在困难。</w:t>
      </w:r>
    </w:p>
    <w:p>
      <w:pPr>
        <w:pStyle w:val="3"/>
        <w:numPr>
          <w:ilvl w:val="0"/>
          <w:numId w:val="2"/>
        </w:numPr>
        <w:spacing w:before="0" w:after="0"/>
        <w:ind w:firstLineChars="0"/>
        <w:rPr>
          <w:color w:val="000000" w:themeColor="text1"/>
          <w14:textFill>
            <w14:solidFill>
              <w14:schemeClr w14:val="tx1"/>
            </w14:solidFill>
          </w14:textFill>
        </w:rPr>
      </w:pPr>
      <w:bookmarkStart w:id="7" w:name="_Toc84600822"/>
      <w:r>
        <w:rPr>
          <w:rFonts w:hint="eastAsia"/>
          <w:color w:val="000000" w:themeColor="text1"/>
          <w14:textFill>
            <w14:solidFill>
              <w14:schemeClr w14:val="tx1"/>
            </w14:solidFill>
          </w14:textFill>
        </w:rPr>
        <w:t>总体</w:t>
      </w:r>
      <w:r>
        <w:rPr>
          <w:color w:val="000000" w:themeColor="text1"/>
          <w14:textFill>
            <w14:solidFill>
              <w14:schemeClr w14:val="tx1"/>
            </w14:solidFill>
          </w14:textFill>
        </w:rPr>
        <w:t>要求</w:t>
      </w:r>
      <w:bookmarkEnd w:id="7"/>
    </w:p>
    <w:p>
      <w:pPr>
        <w:pStyle w:val="4"/>
        <w:numPr>
          <w:ilvl w:val="0"/>
          <w:numId w:val="0"/>
        </w:numPr>
        <w:ind w:firstLine="640" w:firstLineChars="200"/>
        <w:rPr>
          <w:rFonts w:ascii="楷体" w:hAnsi="楷体"/>
          <w:b w:val="0"/>
          <w:color w:val="000000" w:themeColor="text1"/>
          <w14:textFill>
            <w14:solidFill>
              <w14:schemeClr w14:val="tx1"/>
            </w14:solidFill>
          </w14:textFill>
        </w:rPr>
      </w:pPr>
      <w:bookmarkStart w:id="8" w:name="_Toc84600823"/>
      <w:r>
        <w:rPr>
          <w:rFonts w:ascii="楷体" w:hAnsi="楷体"/>
          <w:b w:val="0"/>
          <w:color w:val="000000" w:themeColor="text1"/>
          <w14:textFill>
            <w14:solidFill>
              <w14:schemeClr w14:val="tx1"/>
            </w14:solidFill>
          </w14:textFill>
        </w:rPr>
        <w:t>（一）</w:t>
      </w:r>
      <w:r>
        <w:rPr>
          <w:rFonts w:hint="eastAsia" w:ascii="楷体" w:hAnsi="楷体"/>
          <w:b w:val="0"/>
          <w:color w:val="000000" w:themeColor="text1"/>
          <w14:textFill>
            <w14:solidFill>
              <w14:schemeClr w14:val="tx1"/>
            </w14:solidFill>
          </w14:textFill>
        </w:rPr>
        <w:t>指导思想</w:t>
      </w:r>
      <w:bookmarkEnd w:id="8"/>
    </w:p>
    <w:p>
      <w:pPr>
        <w:pStyle w:val="3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以习近平新时代中国特色社会主义思想为指导，紧紧围绕忠实践行“八八战略”、奋力打造“重要窗口”、高质量发展建设共同富裕示范区主题主线，认真贯彻落实习近平总书记关于网络强国、数字中国等重要论述精神，按照改革驱动、整体协同、开放包容、安全高效原则，聚焦高质量发展、竞争力提升、现代化先行和共同富裕，把数字化贯穿到党的领导和经济、政治、文化、社会、生态文明建设全过程各方面，建设“整体智治、唯实惟先”的现代政府，奋力把数字政府打造成为“重要窗口”的硬核成果。</w:t>
      </w:r>
    </w:p>
    <w:p>
      <w:pPr>
        <w:pStyle w:val="4"/>
        <w:numPr>
          <w:ilvl w:val="0"/>
          <w:numId w:val="0"/>
        </w:numPr>
        <w:ind w:firstLine="640" w:firstLineChars="200"/>
        <w:rPr>
          <w:rFonts w:ascii="楷体" w:hAnsi="楷体"/>
          <w:b w:val="0"/>
          <w:color w:val="000000" w:themeColor="text1"/>
          <w14:textFill>
            <w14:solidFill>
              <w14:schemeClr w14:val="tx1"/>
            </w14:solidFill>
          </w14:textFill>
        </w:rPr>
      </w:pPr>
      <w:bookmarkStart w:id="9" w:name="_Toc84600824"/>
      <w:r>
        <w:rPr>
          <w:rFonts w:ascii="楷体" w:hAnsi="楷体"/>
          <w:b w:val="0"/>
          <w:color w:val="000000" w:themeColor="text1"/>
          <w14:textFill>
            <w14:solidFill>
              <w14:schemeClr w14:val="tx1"/>
            </w14:solidFill>
          </w14:textFill>
        </w:rPr>
        <w:t>（二）</w:t>
      </w:r>
      <w:r>
        <w:rPr>
          <w:rFonts w:hint="eastAsia" w:ascii="楷体" w:hAnsi="楷体"/>
          <w:b w:val="0"/>
          <w:color w:val="000000" w:themeColor="text1"/>
          <w14:textFill>
            <w14:solidFill>
              <w14:schemeClr w14:val="tx1"/>
            </w14:solidFill>
          </w14:textFill>
        </w:rPr>
        <w:t>基本原则</w:t>
      </w:r>
      <w:bookmarkEnd w:id="9"/>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坚持以人民为中心</w:t>
      </w:r>
      <w:r>
        <w:rPr>
          <w:rFonts w:hint="eastAsia"/>
          <w:color w:val="000000" w:themeColor="text1"/>
          <w14:textFill>
            <w14:solidFill>
              <w14:schemeClr w14:val="tx1"/>
            </w14:solidFill>
          </w14:textFill>
        </w:rPr>
        <w:t>。将人民群众的需要作为数字政府建设的出发点和落脚点，聚焦共同富裕示范区建设，从解决人的高频需求和关键问题入手，树立“管理就是服务”理念，以“营商环境最优、便民服务最优”为目标，以数字化建设成果赋能共同富裕示范区建设，不断实现人民群众对美好生活的向往。</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坚持</w:t>
      </w:r>
      <w:r>
        <w:rPr>
          <w:b/>
          <w:color w:val="000000" w:themeColor="text1"/>
          <w14:textFill>
            <w14:solidFill>
              <w14:schemeClr w14:val="tx1"/>
            </w14:solidFill>
          </w14:textFill>
        </w:rPr>
        <w:t>改革创新</w:t>
      </w:r>
      <w:r>
        <w:rPr>
          <w:rFonts w:hint="eastAsia"/>
          <w:b/>
          <w:color w:val="000000" w:themeColor="text1"/>
          <w14:textFill>
            <w14:solidFill>
              <w14:schemeClr w14:val="tx1"/>
            </w14:solidFill>
          </w14:textFill>
        </w:rPr>
        <w:t>驱动</w:t>
      </w:r>
      <w:r>
        <w:rPr>
          <w:rFonts w:hint="eastAsia"/>
          <w:color w:val="000000" w:themeColor="text1"/>
          <w14:textFill>
            <w14:solidFill>
              <w14:schemeClr w14:val="tx1"/>
            </w14:solidFill>
          </w14:textFill>
        </w:rPr>
        <w:t>。以数字化推动产业变革、社会变革、治理变革、政企和政社关系变革、方法变革、工具变革，通过观念创新、制度创新、管理创新、业务创新、模式创新，实现整体智治高效协同。</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坚持以安全为底线</w:t>
      </w:r>
      <w:r>
        <w:rPr>
          <w:rFonts w:hint="eastAsia"/>
          <w:color w:val="000000" w:themeColor="text1"/>
          <w14:textFill>
            <w14:solidFill>
              <w14:schemeClr w14:val="tx1"/>
            </w14:solidFill>
          </w14:textFill>
        </w:rPr>
        <w:t>。坚持发展与安全并重的思想，树立数字时代的安全观，强化安全意识，建立健全技术与管理融合的数字政府安全保障体系，加强隐私脱敏保护和安全保密防护，落实信息安全责任制度，实现数字政府建设与安全建设同步推进。</w:t>
      </w:r>
    </w:p>
    <w:p>
      <w:pPr>
        <w:pStyle w:val="33"/>
        <w:ind w:firstLine="643"/>
        <w:rPr>
          <w:color w:val="000000" w:themeColor="text1"/>
          <w:shd w:val="clear" w:color="auto" w:fill="FFFFFF"/>
          <w14:textFill>
            <w14:solidFill>
              <w14:schemeClr w14:val="tx1"/>
            </w14:solidFill>
          </w14:textFill>
        </w:rPr>
      </w:pPr>
      <w:r>
        <w:rPr>
          <w:rFonts w:hint="eastAsia"/>
          <w:b/>
          <w:color w:val="000000" w:themeColor="text1"/>
          <w14:textFill>
            <w14:solidFill>
              <w14:schemeClr w14:val="tx1"/>
            </w14:solidFill>
          </w14:textFill>
        </w:rPr>
        <w:t>坚持统筹集约发展</w:t>
      </w:r>
      <w:r>
        <w:rPr>
          <w:rFonts w:hint="eastAsia"/>
          <w:color w:val="000000" w:themeColor="text1"/>
          <w14:textFill>
            <w14:solidFill>
              <w14:schemeClr w14:val="tx1"/>
            </w14:solidFill>
          </w14:textFill>
        </w:rPr>
        <w:t>。将“整体智治”要求贯穿到数字政府建设全过程，统筹数字化能力供给，</w:t>
      </w:r>
      <w:r>
        <w:rPr>
          <w:rFonts w:hint="eastAsia"/>
          <w:color w:val="000000" w:themeColor="text1"/>
          <w:shd w:val="clear" w:color="auto" w:fill="FFFFFF"/>
          <w14:textFill>
            <w14:solidFill>
              <w14:schemeClr w14:val="tx1"/>
            </w14:solidFill>
          </w14:textFill>
        </w:rPr>
        <w:t>加强统一规划、推进整体集约发展；强化建设归口管理、减少重复投资建设；推进统一运营维护、有效降低运行成本。</w:t>
      </w:r>
    </w:p>
    <w:p>
      <w:pPr>
        <w:pStyle w:val="33"/>
        <w:ind w:firstLine="640"/>
        <w:rPr>
          <w:color w:val="000000" w:themeColor="text1"/>
          <w14:textFill>
            <w14:solidFill>
              <w14:schemeClr w14:val="tx1"/>
            </w14:solidFill>
          </w14:textFill>
        </w:rPr>
      </w:pPr>
    </w:p>
    <w:p>
      <w:pPr>
        <w:pStyle w:val="4"/>
        <w:numPr>
          <w:ilvl w:val="0"/>
          <w:numId w:val="0"/>
        </w:numPr>
        <w:ind w:firstLine="640" w:firstLineChars="200"/>
        <w:rPr>
          <w:rFonts w:ascii="楷体" w:hAnsi="楷体"/>
          <w:b w:val="0"/>
          <w:color w:val="000000" w:themeColor="text1"/>
          <w14:textFill>
            <w14:solidFill>
              <w14:schemeClr w14:val="tx1"/>
            </w14:solidFill>
          </w14:textFill>
        </w:rPr>
      </w:pPr>
      <w:bookmarkStart w:id="10" w:name="_Toc84600825"/>
      <w:r>
        <w:rPr>
          <w:rFonts w:ascii="楷体" w:hAnsi="楷体"/>
          <w:b w:val="0"/>
          <w:color w:val="000000" w:themeColor="text1"/>
          <w14:textFill>
            <w14:solidFill>
              <w14:schemeClr w14:val="tx1"/>
            </w14:solidFill>
          </w14:textFill>
        </w:rPr>
        <w:t>（三）</w:t>
      </w:r>
      <w:r>
        <w:rPr>
          <w:rFonts w:hint="eastAsia" w:ascii="楷体" w:hAnsi="楷体"/>
          <w:b w:val="0"/>
          <w:color w:val="000000" w:themeColor="text1"/>
          <w14:textFill>
            <w14:solidFill>
              <w14:schemeClr w14:val="tx1"/>
            </w14:solidFill>
          </w14:textFill>
        </w:rPr>
        <w:t>发展目标</w:t>
      </w:r>
      <w:bookmarkEnd w:id="10"/>
    </w:p>
    <w:p>
      <w:pPr>
        <w:pStyle w:val="32"/>
        <w:ind w:firstLine="640"/>
        <w:rPr>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022</w:t>
      </w:r>
      <w:r>
        <w:rPr>
          <w:rFonts w:hint="eastAsia"/>
          <w:color w:val="000000" w:themeColor="text1"/>
          <w14:textFill>
            <w14:solidFill>
              <w14:schemeClr w14:val="tx1"/>
            </w14:solidFill>
          </w14:textFill>
        </w:rPr>
        <w:t>年前，基本搭建一体化智能化公共数据平台和党政机关整体智治系统，基于整体的政府服务体系和政府治理体系基本成型，数据共享和业务协同水平显著提升。到</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025</w:t>
      </w:r>
      <w:r>
        <w:rPr>
          <w:color w:val="000000" w:themeColor="text1"/>
          <w14:textFill>
            <w14:solidFill>
              <w14:schemeClr w14:val="tx1"/>
            </w14:solidFill>
          </w14:textFill>
        </w:rPr>
        <w:t>年</w:t>
      </w:r>
      <w:r>
        <w:rPr>
          <w:rFonts w:hint="eastAsia"/>
          <w:color w:val="000000" w:themeColor="text1"/>
          <w14:textFill>
            <w14:solidFill>
              <w14:schemeClr w14:val="tx1"/>
            </w14:solidFill>
          </w14:textFill>
        </w:rPr>
        <w:t>，基本建成“整体智治、唯实惟先”的现代政府，实现党政决策科学化、经济体系现代化、社会治理精准化、公共服务高效化。政务信息孤岛基本消除，数据资源高度共享，数据价值充分释放，政府服务和治理智能化水平显著提高。信息、数据、知识和服务在政府部门内部、政府部门之间、政府与公众、企业之间畅通流动，基本形成“政府主导、民众参与、</w:t>
      </w:r>
      <w:r>
        <w:rPr>
          <w:color w:val="000000" w:themeColor="text1"/>
          <w14:textFill>
            <w14:solidFill>
              <w14:schemeClr w14:val="tx1"/>
            </w14:solidFill>
          </w14:textFill>
        </w:rPr>
        <w:t>综</w:t>
      </w:r>
      <w:r>
        <w:rPr>
          <w:rFonts w:hint="eastAsia"/>
          <w:color w:val="000000" w:themeColor="text1"/>
          <w14:textFill>
            <w14:solidFill>
              <w14:schemeClr w14:val="tx1"/>
            </w14:solidFill>
          </w14:textFill>
        </w:rPr>
        <w:t>合治理”的数字社会运行局面。以“一体化智能化公共数据平台”为支撑的城市数字化运行体系基本建成。打造金华数字政府“金字招牌”，争创数字化治理先行市，奋力把金华数字政府建设成为打造“重要窗口”及高质量发展建设共同富裕示范区的硬核成果。</w:t>
      </w:r>
    </w:p>
    <w:p>
      <w:pPr>
        <w:pStyle w:val="3"/>
        <w:numPr>
          <w:ilvl w:val="0"/>
          <w:numId w:val="2"/>
        </w:numPr>
        <w:spacing w:before="0" w:after="0"/>
        <w:ind w:firstLineChars="0"/>
        <w:rPr>
          <w:color w:val="000000" w:themeColor="text1"/>
          <w14:textFill>
            <w14:solidFill>
              <w14:schemeClr w14:val="tx1"/>
            </w14:solidFill>
          </w14:textFill>
        </w:rPr>
      </w:pPr>
      <w:bookmarkStart w:id="11" w:name="_Toc84600826"/>
      <w:r>
        <w:rPr>
          <w:rFonts w:hint="eastAsia"/>
          <w:color w:val="000000" w:themeColor="text1"/>
          <w14:textFill>
            <w14:solidFill>
              <w14:schemeClr w14:val="tx1"/>
            </w14:solidFill>
          </w14:textFill>
        </w:rPr>
        <w:t>建立融合共享的政府运行体系</w:t>
      </w:r>
      <w:bookmarkEnd w:id="11"/>
    </w:p>
    <w:p>
      <w:pPr>
        <w:pStyle w:val="4"/>
        <w:numPr>
          <w:ilvl w:val="0"/>
          <w:numId w:val="3"/>
        </w:numPr>
        <w:ind w:hanging="423"/>
        <w:rPr>
          <w:rFonts w:ascii="楷体" w:hAnsi="楷体"/>
          <w:b w:val="0"/>
          <w:color w:val="000000" w:themeColor="text1"/>
          <w14:textFill>
            <w14:solidFill>
              <w14:schemeClr w14:val="tx1"/>
            </w14:solidFill>
          </w14:textFill>
        </w:rPr>
      </w:pPr>
      <w:bookmarkStart w:id="12" w:name="_Toc84600827"/>
      <w:r>
        <w:rPr>
          <w:rFonts w:hint="eastAsia" w:ascii="楷体" w:hAnsi="楷体"/>
          <w:b w:val="0"/>
          <w:color w:val="000000" w:themeColor="text1"/>
          <w14:textFill>
            <w14:solidFill>
              <w14:schemeClr w14:val="tx1"/>
            </w14:solidFill>
          </w14:textFill>
        </w:rPr>
        <w:t>推进政府运行高效协同</w:t>
      </w:r>
      <w:bookmarkEnd w:id="12"/>
    </w:p>
    <w:p>
      <w:pPr>
        <w:pStyle w:val="3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以加强党的全面领导、服务市委“总揽全局、协调各方”为主线，运用系统理念和数字化手段，推进党政机关在决策、执行、预警、监管、服务、督</w:t>
      </w:r>
      <w:r>
        <w:rPr>
          <w:color w:val="000000" w:themeColor="text1"/>
          <w14:textFill>
            <w14:solidFill>
              <w14:schemeClr w14:val="tx1"/>
            </w14:solidFill>
          </w14:textFill>
        </w:rPr>
        <w:t>查</w:t>
      </w:r>
      <w:r>
        <w:rPr>
          <w:rFonts w:hint="eastAsia"/>
          <w:color w:val="000000" w:themeColor="text1"/>
          <w14:textFill>
            <w14:solidFill>
              <w14:schemeClr w14:val="tx1"/>
            </w14:solidFill>
          </w14:textFill>
        </w:rPr>
        <w:t>等方面全方位、系统性改革，建设具有金华特色的党政机关整体智治系统。通过政务数据整合利用、流程重塑，建设数字政府综合应用系统，推进党政机关各项职能的打通和整合，推动行政资源高效配置，实现各机关部门运作有机协同。充分利用全省统一的“浙政钉”平台，推进各政府部门办公、督查督办、在线培训、财政预算、资产管理、机关后勤管理、绩效管理、档案管理等数字化应用建设。按照办事标准化、信息化、集成化的要求，大力推进各机关单位层级间、部门间“最多跑一次”改革，提升移动政务公共支撑服务能力。加快实施机关内部“一件事”集成改革，以数据共享开放为驱动，通过跨部门的高效业务协同，使政府服务方式从“碎片化”转变为“一体化”。加快推进基层“最多报一次”，以智能化手段代替“手工作坊”，实现基层数据智能化采集，将各条线数据“全打通、全归集、全共享、全对接”，提高数据开放共享水平，切实为基层松绑减负。打造政府效能管理应用，打通各领域、各部门业务系统，汇聚各部门政府管理效能数据，运用天地图、在线调查、数据挖掘、图像视频分析、机器学习等数字化技术，分析政府管理效能水平，发挥效能管理“指挥棒”作用，着力提升政府治理质量、效率和公信力。</w:t>
      </w:r>
    </w:p>
    <w:p>
      <w:pPr>
        <w:pStyle w:val="4"/>
        <w:numPr>
          <w:ilvl w:val="0"/>
          <w:numId w:val="3"/>
        </w:numPr>
        <w:ind w:hanging="423"/>
        <w:rPr>
          <w:rFonts w:ascii="楷体" w:hAnsi="楷体"/>
          <w:b w:val="0"/>
          <w:color w:val="000000" w:themeColor="text1"/>
          <w14:textFill>
            <w14:solidFill>
              <w14:schemeClr w14:val="tx1"/>
            </w14:solidFill>
          </w14:textFill>
        </w:rPr>
      </w:pPr>
      <w:bookmarkStart w:id="13" w:name="_Toc75525338"/>
      <w:bookmarkEnd w:id="13"/>
      <w:bookmarkStart w:id="14" w:name="_Toc75525337"/>
      <w:bookmarkEnd w:id="14"/>
      <w:bookmarkStart w:id="15" w:name="_Toc84600828"/>
      <w:r>
        <w:rPr>
          <w:rFonts w:hint="eastAsia" w:ascii="楷体" w:hAnsi="楷体"/>
          <w:b w:val="0"/>
          <w:color w:val="000000" w:themeColor="text1"/>
          <w14:textFill>
            <w14:solidFill>
              <w14:schemeClr w14:val="tx1"/>
            </w14:solidFill>
          </w14:textFill>
        </w:rPr>
        <w:t>提高决策科学精准水平</w:t>
      </w:r>
      <w:bookmarkEnd w:id="15"/>
    </w:p>
    <w:p>
      <w:pPr>
        <w:pStyle w:val="32"/>
        <w:ind w:firstLine="640"/>
        <w:rPr>
          <w:rFonts w:eastAsia="黑体"/>
          <w:bCs/>
          <w:color w:val="000000" w:themeColor="text1"/>
          <w:kern w:val="44"/>
          <w:szCs w:val="44"/>
          <w14:textFill>
            <w14:solidFill>
              <w14:schemeClr w14:val="tx1"/>
            </w14:solidFill>
          </w14:textFill>
        </w:rPr>
      </w:pPr>
      <w:r>
        <w:rPr>
          <w:color w:val="000000" w:themeColor="text1"/>
          <w14:textFill>
            <w14:solidFill>
              <w14:schemeClr w14:val="tx1"/>
            </w14:solidFill>
          </w14:textFill>
        </w:rPr>
        <w:t>按照</w:t>
      </w:r>
      <w:r>
        <w:rPr>
          <w:rFonts w:hint="eastAsia"/>
          <w:color w:val="000000" w:themeColor="text1"/>
          <w14:textFill>
            <w14:solidFill>
              <w14:schemeClr w14:val="tx1"/>
            </w14:solidFill>
          </w14:textFill>
        </w:rPr>
        <w:t>“政府主导、多元参与”原则，整合银、企、社各方意见建议，综合运用互联网、大数据、人工智能、区块链等新技术手段，通过模型构建，对海量数据关联分析和综合研判，打造融合数据驱动和模型驱动的新型决策模式，推动市域治理体系和治理能力现代化，实现经济运行、公共服务、社会治理、市场监管、环境保护等领域的态势监测、预测预警和政策推演。建设市领导主驾驶舱和部门、县（市、区）分驾驶舱，为市领导和各部门单位领导提供辅助决策支持。</w:t>
      </w:r>
    </w:p>
    <w:p>
      <w:pPr>
        <w:pStyle w:val="3"/>
        <w:numPr>
          <w:ilvl w:val="0"/>
          <w:numId w:val="2"/>
        </w:numPr>
        <w:spacing w:before="0" w:after="0"/>
        <w:ind w:firstLineChars="0"/>
        <w:rPr>
          <w:color w:val="000000" w:themeColor="text1"/>
          <w14:textFill>
            <w14:solidFill>
              <w14:schemeClr w14:val="tx1"/>
            </w14:solidFill>
          </w14:textFill>
        </w:rPr>
      </w:pPr>
      <w:bookmarkStart w:id="16" w:name="_Toc84600829"/>
      <w:r>
        <w:rPr>
          <w:rFonts w:hint="eastAsia"/>
          <w:color w:val="000000" w:themeColor="text1"/>
          <w14:textFill>
            <w14:solidFill>
              <w14:schemeClr w14:val="tx1"/>
            </w14:solidFill>
          </w14:textFill>
        </w:rPr>
        <w:t>打造优质</w:t>
      </w:r>
      <w:r>
        <w:rPr>
          <w:color w:val="000000" w:themeColor="text1"/>
          <w14:textFill>
            <w14:solidFill>
              <w14:schemeClr w14:val="tx1"/>
            </w14:solidFill>
          </w14:textFill>
        </w:rPr>
        <w:t>便</w:t>
      </w:r>
      <w:r>
        <w:rPr>
          <w:rFonts w:hint="eastAsia"/>
          <w:color w:val="000000" w:themeColor="text1"/>
          <w14:textFill>
            <w14:solidFill>
              <w14:schemeClr w14:val="tx1"/>
            </w14:solidFill>
          </w14:textFill>
        </w:rPr>
        <w:t>捷</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政府服务体系</w:t>
      </w:r>
      <w:bookmarkEnd w:id="16"/>
    </w:p>
    <w:p>
      <w:pPr>
        <w:pStyle w:val="4"/>
        <w:numPr>
          <w:ilvl w:val="0"/>
          <w:numId w:val="4"/>
        </w:numPr>
        <w:ind w:hanging="423"/>
        <w:rPr>
          <w:rFonts w:ascii="楷体" w:hAnsi="楷体"/>
          <w:b w:val="0"/>
          <w:color w:val="000000" w:themeColor="text1"/>
          <w14:textFill>
            <w14:solidFill>
              <w14:schemeClr w14:val="tx1"/>
            </w14:solidFill>
          </w14:textFill>
        </w:rPr>
      </w:pPr>
      <w:bookmarkStart w:id="17" w:name="_Toc84600830"/>
      <w:r>
        <w:rPr>
          <w:rFonts w:hint="eastAsia" w:ascii="楷体" w:hAnsi="楷体"/>
          <w:b w:val="0"/>
          <w:color w:val="000000" w:themeColor="text1"/>
          <w14:textFill>
            <w14:solidFill>
              <w14:schemeClr w14:val="tx1"/>
            </w14:solidFill>
          </w14:textFill>
        </w:rPr>
        <w:t>推进政务服务便捷智能</w:t>
      </w:r>
      <w:bookmarkEnd w:id="17"/>
    </w:p>
    <w:p>
      <w:pPr>
        <w:pStyle w:val="32"/>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推动政务服务便捷化。</w:t>
      </w:r>
      <w:r>
        <w:rPr>
          <w:rFonts w:hint="eastAsia"/>
          <w:color w:val="000000" w:themeColor="text1"/>
          <w14:textFill>
            <w14:solidFill>
              <w14:schemeClr w14:val="tx1"/>
            </w14:solidFill>
          </w14:textFill>
        </w:rPr>
        <w:t>依托统一的电子政务服务平台，加快推进标准事项“全市通办”。将社保参保缴费、不动产查询、公积金缴纳等高频事项纳入政务自助服务范围，推进政务服务下沉，提升政务服务的便捷性。构建“浙里问·金华”智能咨询平台，打造统一的知识库、智能机器人、人工坐席台等平台与工具，实现智能化咨询服务，为基层工作人员赋能减负。</w:t>
      </w:r>
    </w:p>
    <w:p>
      <w:pPr>
        <w:pStyle w:val="32"/>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推动政务服务智能化。</w:t>
      </w:r>
      <w:r>
        <w:rPr>
          <w:rFonts w:hint="eastAsia"/>
          <w:color w:val="000000" w:themeColor="text1"/>
          <w14:textFill>
            <w14:solidFill>
              <w14:schemeClr w14:val="tx1"/>
            </w14:solidFill>
          </w14:textFill>
        </w:rPr>
        <w:t>加大“浙里办”事项集成力度，实现服务事项“一端通办”，探索“健康码”</w:t>
      </w:r>
      <w:r>
        <w:rPr>
          <w:color w:val="000000" w:themeColor="text1"/>
          <w14:textFill>
            <w14:solidFill>
              <w14:schemeClr w14:val="tx1"/>
            </w14:solidFill>
          </w14:textFill>
        </w:rPr>
        <w:t>应用升级</w:t>
      </w:r>
      <w:r>
        <w:rPr>
          <w:rFonts w:hint="eastAsia"/>
          <w:color w:val="000000" w:themeColor="text1"/>
          <w14:textFill>
            <w14:solidFill>
              <w14:schemeClr w14:val="tx1"/>
            </w14:solidFill>
          </w14:textFill>
        </w:rPr>
        <w:t>，实现政务服务扫码登录、扫码取号、扫码办事、扫码评价。推进“适老化”、残疾人数字应用建设，加强技术创新，充分运用智能技术，提升特殊人群</w:t>
      </w:r>
      <w:r>
        <w:rPr>
          <w:color w:val="000000" w:themeColor="text1"/>
          <w14:textFill>
            <w14:solidFill>
              <w14:schemeClr w14:val="tx1"/>
            </w14:solidFill>
          </w14:textFill>
        </w:rPr>
        <w:t>政务</w:t>
      </w:r>
      <w:r>
        <w:rPr>
          <w:rFonts w:hint="eastAsia"/>
          <w:color w:val="000000" w:themeColor="text1"/>
          <w14:textFill>
            <w14:solidFill>
              <w14:schemeClr w14:val="tx1"/>
            </w14:solidFill>
          </w14:textFill>
        </w:rPr>
        <w:t>水平。构</w:t>
      </w:r>
      <w:r>
        <w:rPr>
          <w:rFonts w:hint="eastAsia" w:ascii="Times New Roman" w:hAnsi="Times New Roman" w:cs="Times New Roman"/>
          <w:color w:val="000000" w:themeColor="text1"/>
          <w14:textFill>
            <w14:solidFill>
              <w14:schemeClr w14:val="tx1"/>
            </w14:solidFill>
          </w14:textFill>
        </w:rPr>
        <w:t>建5G</w:t>
      </w:r>
      <w:r>
        <w:rPr>
          <w:rFonts w:hint="eastAsia"/>
          <w:color w:val="000000" w:themeColor="text1"/>
          <w14:textFill>
            <w14:solidFill>
              <w14:schemeClr w14:val="tx1"/>
            </w14:solidFill>
          </w14:textFill>
        </w:rPr>
        <w:t>服务大厅等服务模式，通过视频服务、代办服务等方式，满足老年人、残疾人等特殊群体办事需求，消除数字化变革中的“数字鸿沟”。深化政务服务满意度评价，完善政务服务反馈机制和政务服务“好差评”制度，加强“差评”问题整改，提升政务服务水平。</w:t>
      </w:r>
    </w:p>
    <w:p>
      <w:pPr>
        <w:pStyle w:val="4"/>
        <w:numPr>
          <w:ilvl w:val="0"/>
          <w:numId w:val="4"/>
        </w:numPr>
        <w:ind w:hanging="423"/>
        <w:rPr>
          <w:rFonts w:ascii="楷体" w:hAnsi="楷体"/>
          <w:b w:val="0"/>
          <w:color w:val="000000" w:themeColor="text1"/>
          <w14:textFill>
            <w14:solidFill>
              <w14:schemeClr w14:val="tx1"/>
            </w14:solidFill>
          </w14:textFill>
        </w:rPr>
      </w:pPr>
      <w:bookmarkStart w:id="18" w:name="_Toc84600831"/>
      <w:r>
        <w:rPr>
          <w:rFonts w:hint="eastAsia" w:ascii="楷体" w:hAnsi="楷体"/>
          <w:b w:val="0"/>
          <w:color w:val="000000" w:themeColor="text1"/>
          <w14:textFill>
            <w14:solidFill>
              <w14:schemeClr w14:val="tx1"/>
            </w14:solidFill>
          </w14:textFill>
        </w:rPr>
        <w:t>推动营商环境优化提升</w:t>
      </w:r>
      <w:bookmarkEnd w:id="18"/>
    </w:p>
    <w:p>
      <w:pPr>
        <w:pStyle w:val="33"/>
        <w:ind w:firstLine="643"/>
        <w:rPr>
          <w:color w:val="000000" w:themeColor="text1"/>
          <w14:textFill>
            <w14:solidFill>
              <w14:schemeClr w14:val="tx1"/>
            </w14:solidFill>
          </w14:textFill>
        </w:rPr>
      </w:pPr>
      <w:r>
        <w:rPr>
          <w:rFonts w:ascii="Times New Roman" w:hAnsi="Times New Roman" w:cs="Times New Roman"/>
          <w:b/>
          <w:color w:val="000000" w:themeColor="text1"/>
          <w:szCs w:val="24"/>
          <w14:textFill>
            <w14:solidFill>
              <w14:schemeClr w14:val="tx1"/>
            </w14:solidFill>
          </w14:textFill>
        </w:rPr>
        <w:t>深化</w:t>
      </w:r>
      <w:r>
        <w:rPr>
          <w:rFonts w:hint="eastAsia" w:ascii="Times New Roman" w:hAnsi="Times New Roman" w:cs="Times New Roman"/>
          <w:b/>
          <w:color w:val="000000" w:themeColor="text1"/>
          <w:szCs w:val="24"/>
          <w14:textFill>
            <w14:solidFill>
              <w14:schemeClr w14:val="tx1"/>
            </w14:solidFill>
          </w14:textFill>
        </w:rPr>
        <w:t>企业</w:t>
      </w:r>
      <w:r>
        <w:rPr>
          <w:rFonts w:ascii="Times New Roman" w:hAnsi="Times New Roman" w:cs="Times New Roman"/>
          <w:b/>
          <w:color w:val="000000" w:themeColor="text1"/>
          <w:szCs w:val="24"/>
          <w14:textFill>
            <w14:solidFill>
              <w14:schemeClr w14:val="tx1"/>
            </w14:solidFill>
          </w14:textFill>
        </w:rPr>
        <w:t>一站式集成服务</w:t>
      </w:r>
      <w:r>
        <w:rPr>
          <w:rFonts w:hint="eastAsia" w:ascii="Times New Roman" w:hAnsi="Times New Roman" w:cs="Times New Roman"/>
          <w:color w:val="000000" w:themeColor="text1"/>
          <w:szCs w:val="24"/>
          <w14:textFill>
            <w14:solidFill>
              <w14:schemeClr w14:val="tx1"/>
            </w14:solidFill>
          </w14:textFill>
        </w:rPr>
        <w:t>。深化商事登记制度改革，</w:t>
      </w:r>
      <w:r>
        <w:rPr>
          <w:color w:val="000000" w:themeColor="text1"/>
          <w14:textFill>
            <w14:solidFill>
              <w14:schemeClr w14:val="tx1"/>
            </w14:solidFill>
          </w14:textFill>
        </w:rPr>
        <w:t>持续提升企业开办</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变更备案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企业注销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证照联办等事项线上</w:t>
      </w:r>
      <w:r>
        <w:rPr>
          <w:rFonts w:hint="eastAsia"/>
          <w:color w:val="000000" w:themeColor="text1"/>
          <w14:textFill>
            <w14:solidFill>
              <w14:schemeClr w14:val="tx1"/>
            </w14:solidFill>
          </w14:textFill>
        </w:rPr>
        <w:t>“一网通办”水平</w:t>
      </w:r>
      <w:r>
        <w:rPr>
          <w:rFonts w:ascii="Times New Roman" w:hAnsi="Times New Roman" w:cs="Times New Roman"/>
          <w:color w:val="000000" w:themeColor="text1"/>
          <w:szCs w:val="24"/>
          <w14:textFill>
            <w14:solidFill>
              <w14:schemeClr w14:val="tx1"/>
            </w14:solidFill>
          </w14:textFill>
        </w:rPr>
        <w:t>。</w:t>
      </w:r>
      <w:r>
        <w:rPr>
          <w:rFonts w:hint="eastAsia"/>
          <w:color w:val="000000" w:themeColor="text1"/>
          <w14:textFill>
            <w14:solidFill>
              <w14:schemeClr w14:val="tx1"/>
            </w14:solidFill>
          </w14:textFill>
        </w:rPr>
        <w:t>优化“企业开办专窗”线下服务平台建设，推广“机器换窗、人机联办”服务模式，推进个人可信身份认证工作，满足申请人在各应用场景的刷脸、扫码应用。采用区块链</w:t>
      </w:r>
      <w:r>
        <w:rPr>
          <w:rFonts w:hint="eastAsia" w:ascii="Times New Roman" w:hAnsi="Times New Roman" w:cs="Times New Roman"/>
          <w:color w:val="000000" w:themeColor="text1"/>
          <w14:textFill>
            <w14:solidFill>
              <w14:schemeClr w14:val="tx1"/>
            </w14:solidFill>
          </w14:textFill>
        </w:rPr>
        <w:t>+电</w:t>
      </w:r>
      <w:r>
        <w:rPr>
          <w:rFonts w:hint="eastAsia"/>
          <w:color w:val="000000" w:themeColor="text1"/>
          <w14:textFill>
            <w14:solidFill>
              <w14:schemeClr w14:val="tx1"/>
            </w14:solidFill>
          </w14:textFill>
        </w:rPr>
        <w:t>子劳动合同模式，打通人社、法院、检察院等数据，提升合同执行、商事纠纷便利度。建设“揭榜挂帅”云平台，在企业需求端和创新资源供给端架起实时、精准、常态化的对接桥梁，实现“寻榜、评榜、发榜、揭榜、保榜、奖榜”等一网办理。建设覆盖全市的会展业公共服务平台，实现对会展数据实时收集，提供信息发布、服务定制、智能导航、网络社交、移动电子商务、精准营销等多样化服务，提高会展服务业信息化水平，促进行业资源整合。</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打造企业服务综合应用。</w:t>
      </w:r>
      <w:r>
        <w:rPr>
          <w:rFonts w:hint="eastAsia"/>
          <w:color w:val="000000" w:themeColor="text1"/>
          <w14:textFill>
            <w14:solidFill>
              <w14:schemeClr w14:val="tx1"/>
            </w14:solidFill>
          </w14:textFill>
        </w:rPr>
        <w:t>建立惠企政策直通车，基于“浙里办”，构建主动服务的政府运行模式，以“网上政策超市”“企业码”和“智配直享”平台为基础，推进新智造公共服务应用和网上技术市场</w:t>
      </w:r>
      <w:r>
        <w:rPr>
          <w:rFonts w:hint="eastAsia" w:ascii="Times New Roman" w:hAnsi="Times New Roman" w:cs="Times New Roman"/>
          <w:color w:val="000000" w:themeColor="text1"/>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.0</w:t>
      </w:r>
      <w:r>
        <w:rPr>
          <w:color w:val="000000" w:themeColor="text1"/>
          <w14:textFill>
            <w14:solidFill>
              <w14:schemeClr w14:val="tx1"/>
            </w14:solidFill>
          </w14:textFill>
        </w:rPr>
        <w:t>应用</w:t>
      </w:r>
      <w:r>
        <w:rPr>
          <w:rFonts w:hint="eastAsia"/>
          <w:color w:val="000000" w:themeColor="text1"/>
          <w14:textFill>
            <w14:solidFill>
              <w14:schemeClr w14:val="tx1"/>
            </w14:solidFill>
          </w14:textFill>
        </w:rPr>
        <w:t>，梳理颗粒化、标准化政策、专家资源和技术服务事项，聚焦政策直达、诉求办理、监督管理、公共服务、产业链合作等领域，通过大数据、人工智能分析匹配，形成以“企业码”为主要入口、各涉企服务码及应用作为特色子码和功能应用的全市企业服务生态系统，</w:t>
      </w:r>
      <w:r>
        <w:rPr>
          <w:color w:val="000000" w:themeColor="text1"/>
          <w14:textFill>
            <w14:solidFill>
              <w14:schemeClr w14:val="tx1"/>
            </w14:solidFill>
          </w14:textFill>
        </w:rPr>
        <w:t>加快打造聚焦精准、</w:t>
      </w:r>
      <w:r>
        <w:rPr>
          <w:rFonts w:hint="eastAsia"/>
          <w:color w:val="000000" w:themeColor="text1"/>
          <w14:textFill>
            <w14:solidFill>
              <w14:schemeClr w14:val="tx1"/>
            </w14:solidFill>
          </w14:textFill>
        </w:rPr>
        <w:t>服务多元、政企互动、三级联动的“企业码”服务服务体系。</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强化自贸区一体化服务水平。</w:t>
      </w:r>
      <w:r>
        <w:rPr>
          <w:rFonts w:hint="eastAsia"/>
          <w:color w:val="000000" w:themeColor="text1"/>
          <w14:textFill>
            <w14:solidFill>
              <w14:schemeClr w14:val="tx1"/>
            </w14:solidFill>
          </w14:textFill>
        </w:rPr>
        <w:t>加快建设自贸区“单一窗口”运营实体与信息平台融合，推动跨境贸易相关业务线上线下融合，实现口岸服务一体化。迭代升级“金易达”出口贸易数字履约平台，普惠广大外贸中小企业，提供跨境物流、便利通关、支付结算、信用融资等一站式服务、数智化链接、专业化保障，帮助企业低成本、高效率地开拓外贸市场。持续拓展“金易达”平台功能，扩大服务范围，构建覆盖浙中西、长江中下游及内陆腹地的服务网络，辐射义甬舟开放大通道及西延区域，扩大在“一带一路”国家的影响力。加强外贸“订单+清单”监测预警管理系统应用，围绕全市外贸企业，以数据输入的企业端、市县商务监测的管理端、系统运行的维护端为基础，建设订单填报和订单监测体系、对美五色预警名单服务体系以及订单预警响应机制。通过汇聚</w:t>
      </w:r>
      <w:r>
        <w:rPr>
          <w:rFonts w:hint="eastAsia" w:ascii="Times New Roman" w:hAnsi="Times New Roman"/>
          <w:color w:val="000000"/>
          <w:spacing w:val="-6"/>
          <w:szCs w:val="32"/>
        </w:rPr>
        <w:t>税务、海关、人行、银保监</w:t>
      </w:r>
      <w:r>
        <w:rPr>
          <w:rFonts w:hint="eastAsia"/>
          <w:color w:val="000000" w:themeColor="text1"/>
          <w14:textFill>
            <w14:solidFill>
              <w14:schemeClr w14:val="tx1"/>
            </w14:solidFill>
          </w14:textFill>
        </w:rPr>
        <w:t>等部门数据，探索跨境金融结算、跨境投融资、跨境人民币、跨境物流业务，提升通关、税收征管、支付结算、仓储物流、订单预警响应等方面服务水平。</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提升公共资源交易智能化水平</w:t>
      </w:r>
      <w:r>
        <w:rPr>
          <w:rFonts w:hint="eastAsia"/>
          <w:color w:val="000000" w:themeColor="text1"/>
          <w14:textFill>
            <w14:solidFill>
              <w14:schemeClr w14:val="tx1"/>
            </w14:solidFill>
          </w14:textFill>
        </w:rPr>
        <w:t>。规范公共资源交易服务事项，加快公共资源交易平台与行政监督部门管理的电子政务系统联通互认，建设统一开放的公共资源交易平台、监管平台和服务平台，持续提升全市公共资源交易全流程电子化水平，加快推进公共资源不见面交易。</w:t>
      </w:r>
    </w:p>
    <w:p>
      <w:pPr>
        <w:pStyle w:val="4"/>
        <w:numPr>
          <w:ilvl w:val="0"/>
          <w:numId w:val="4"/>
        </w:numPr>
        <w:ind w:hanging="423"/>
        <w:rPr>
          <w:rFonts w:ascii="楷体" w:hAnsi="楷体"/>
          <w:b w:val="0"/>
          <w:color w:val="000000" w:themeColor="text1"/>
          <w14:textFill>
            <w14:solidFill>
              <w14:schemeClr w14:val="tx1"/>
            </w14:solidFill>
          </w14:textFill>
        </w:rPr>
      </w:pPr>
      <w:bookmarkStart w:id="19" w:name="_Toc84600832"/>
      <w:r>
        <w:rPr>
          <w:rFonts w:hint="eastAsia" w:ascii="楷体" w:hAnsi="楷体"/>
          <w:b w:val="0"/>
          <w:color w:val="000000" w:themeColor="text1"/>
          <w14:textFill>
            <w14:solidFill>
              <w14:schemeClr w14:val="tx1"/>
            </w14:solidFill>
          </w14:textFill>
        </w:rPr>
        <w:t>促进公共服务高效优质</w:t>
      </w:r>
      <w:bookmarkEnd w:id="19"/>
    </w:p>
    <w:p>
      <w:pPr>
        <w:pStyle w:val="33"/>
        <w:ind w:firstLine="643"/>
        <w:rPr>
          <w:b/>
          <w:color w:val="000000" w:themeColor="text1"/>
          <w14:textFill>
            <w14:solidFill>
              <w14:schemeClr w14:val="tx1"/>
            </w14:solidFill>
          </w14:textFill>
        </w:rPr>
      </w:pPr>
      <w:r>
        <w:rPr>
          <w:rFonts w:hint="eastAsia"/>
          <w:b/>
          <w:color w:val="000000" w:themeColor="text1"/>
          <w14:textFill>
            <w14:solidFill>
              <w14:schemeClr w14:val="tx1"/>
            </w14:solidFill>
          </w14:textFill>
        </w:rPr>
        <w:t>开展未来社区建设试点</w:t>
      </w:r>
      <w:r>
        <w:rPr>
          <w:rFonts w:hint="eastAsia"/>
          <w:color w:val="000000" w:themeColor="text1"/>
          <w14:textFill>
            <w14:solidFill>
              <w14:schemeClr w14:val="tx1"/>
            </w14:solidFill>
          </w14:textFill>
        </w:rPr>
        <w:t>。围绕社区全生活链服务需求，以人本化、生态化、数字化为价值导向，以未来邻里、教育、健康、创业、建筑、交通、能源、物业和治理等九大场景创新为引领，建设新型城市功能单元。结合社区商业试点，新建和改造一批社区数字生活服务中心，打造一批线上线下融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集各种便民服务为一体的优质便民生活圈。依托社区智慧服务平台，整合社区现有运营资源，以数字化、智慧化改造和“补短板”式“三化九场景”功能嵌入为主，提供优质社区配套服务。</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发展智慧教育服务新模式</w:t>
      </w:r>
      <w:r>
        <w:rPr>
          <w:rFonts w:hint="eastAsia"/>
          <w:color w:val="000000" w:themeColor="text1"/>
          <w14:textFill>
            <w14:solidFill>
              <w14:schemeClr w14:val="tx1"/>
            </w14:solidFill>
          </w14:textFill>
        </w:rPr>
        <w:t>。创新教学、教研和管理方式，通过全场景过程性动态数据采集，构建以学生为中心的学业评价机制，实现基于大数据的精准诊断、分析及优质资源推荐，为师生和家长提供便捷的个性化创新服务。推进学校安全综合监管应用建设，针对各系统产生的数据，进行基础数据、主题数据、综合数据的分析可视化，实现大数据的精准管理，建立未来教育“微应用超市”，打造平安校园、校园食品安全、学籍一张图等子场景应用。建设入学入园综合集成服务平台和“阳光招生”管理服务应用，建立市、区、校三级集中统一的基础数据库，打通入学入园报名的各项数据，打造学区预警、学区推演、批次查询、政策提示、入学入园网上报名“零次跑”等功能，实现教育资源“透明化”分配。</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推进智慧健康建设</w:t>
      </w:r>
      <w:r>
        <w:rPr>
          <w:rFonts w:hint="eastAsia"/>
          <w:color w:val="000000" w:themeColor="text1"/>
          <w14:textFill>
            <w14:solidFill>
              <w14:schemeClr w14:val="tx1"/>
            </w14:solidFill>
          </w14:textFill>
        </w:rPr>
        <w:t>。打造“互联</w:t>
      </w:r>
      <w:r>
        <w:rPr>
          <w:rFonts w:hint="eastAsia" w:ascii="Times New Roman" w:hAnsi="Times New Roman" w:cs="Times New Roman"/>
          <w:color w:val="000000" w:themeColor="text1"/>
          <w14:textFill>
            <w14:solidFill>
              <w14:schemeClr w14:val="tx1"/>
            </w14:solidFill>
          </w14:textFill>
        </w:rPr>
        <w:t>网+</w:t>
      </w:r>
      <w:r>
        <w:rPr>
          <w:rFonts w:hint="eastAsia"/>
          <w:color w:val="000000" w:themeColor="text1"/>
          <w14:textFill>
            <w14:solidFill>
              <w14:schemeClr w14:val="tx1"/>
            </w14:solidFill>
          </w14:textFill>
        </w:rPr>
        <w:t>医疗健康”模式，全面拓展线上预约诊疗、诊间结算、医疗信用支付等服务，运用</w:t>
      </w:r>
      <w:r>
        <w:rPr>
          <w:rFonts w:hint="eastAsia" w:ascii="Times New Roman" w:hAnsi="Times New Roman" w:cs="Times New Roman"/>
          <w:color w:val="000000" w:themeColor="text1"/>
          <w14:textFill>
            <w14:solidFill>
              <w14:schemeClr w14:val="tx1"/>
            </w14:solidFill>
          </w14:textFill>
        </w:rPr>
        <w:t>5G技术</w:t>
      </w:r>
      <w:r>
        <w:rPr>
          <w:rFonts w:hint="eastAsia"/>
          <w:color w:val="000000" w:themeColor="text1"/>
          <w14:textFill>
            <w14:solidFill>
              <w14:schemeClr w14:val="tx1"/>
            </w14:solidFill>
          </w14:textFill>
        </w:rPr>
        <w:t>开展网上门诊、远程会诊、远程诊断，助力优质医疗资源“双下沉、两提升”。促进智能化助医服务，在确保个人信息安全的基础上推进市域医疗健康机构数据共享，建立全市居民电子健康档案，实现全市医疗卫生机构间跨机构、跨领域的检验检查结果互认。加强对重点特殊病人的在线服务管理，实现健康指标自动监测、异常指标自动提醒、紧急情况远程救助。建设“全民安心医保城市”平台，依托全市统建系统、“浙里办”医保专区，推进“一件事”跨部门多业务协同应用，重点打造“</w:t>
      </w:r>
      <w:r>
        <w:rPr>
          <w:rFonts w:ascii="Times New Roman" w:hAnsi="Times New Roman" w:cs="Times New Roman"/>
          <w:color w:val="000000" w:themeColor="text1"/>
          <w14:textFill>
            <w14:solidFill>
              <w14:schemeClr w14:val="tx1"/>
            </w14:solidFill>
          </w14:textFill>
        </w:rPr>
        <w:t>3+N</w:t>
      </w:r>
      <w:r>
        <w:rPr>
          <w:rFonts w:hint="eastAsia"/>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一</w:t>
      </w:r>
      <w:r>
        <w:rPr>
          <w:rFonts w:hint="eastAsia"/>
          <w:color w:val="000000" w:themeColor="text1"/>
          <w14:textFill>
            <w14:solidFill>
              <w14:schemeClr w14:val="tx1"/>
            </w14:solidFill>
          </w14:textFill>
        </w:rPr>
        <w:t>站式结算、“网订店送”医保结算等亮点功能。</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加快智慧交通建设。</w:t>
      </w:r>
      <w:r>
        <w:rPr>
          <w:rFonts w:hint="eastAsia"/>
          <w:color w:val="000000" w:themeColor="text1"/>
          <w14:textFill>
            <w14:solidFill>
              <w14:schemeClr w14:val="tx1"/>
            </w14:solidFill>
          </w14:textFill>
        </w:rPr>
        <w:t>推动交通要素数字化、出行信息化、管理可视化，加强涉及交通的多部门信息归集共享，充分发挥互联网、大数据、人工智能的作用，推动实现数据驱动的城市交通管理模式和服务模式，提升交通通勤效率。优化公共交通出行体验，加强智慧公交建设，扩大公交多功能候车亭、智能电子站牌覆盖面，建设升级公交智能调度、智能排班、客流分析、路线优化等系统，推行二维码支付、刷脸支付等多种支付方式，提升智慧公交便民服务能力，以大数据助力智慧出行、绿色出行，提升城市公交的承载力。</w:t>
      </w:r>
      <w:r>
        <w:rPr>
          <w:color w:val="000000" w:themeColor="text1"/>
          <w14:textFill>
            <w14:solidFill>
              <w14:schemeClr w14:val="tx1"/>
            </w14:solidFill>
          </w14:textFill>
        </w:rPr>
        <w:t>加快推进</w:t>
      </w:r>
      <w:r>
        <w:rPr>
          <w:rFonts w:hint="eastAsia"/>
          <w:color w:val="000000" w:themeColor="text1"/>
          <w14:textFill>
            <w14:solidFill>
              <w14:schemeClr w14:val="tx1"/>
            </w14:solidFill>
          </w14:textFill>
        </w:rPr>
        <w:t>“互联网</w:t>
      </w:r>
      <w:r>
        <w:rPr>
          <w:rFonts w:hint="eastAsia" w:ascii="Times New Roman" w:hAnsi="Times New Roman" w:cs="Times New Roman"/>
          <w:color w:val="000000" w:themeColor="text1"/>
          <w14:textFill>
            <w14:solidFill>
              <w14:schemeClr w14:val="tx1"/>
            </w14:solidFill>
          </w14:textFill>
        </w:rPr>
        <w:t>+停</w:t>
      </w:r>
      <w:r>
        <w:rPr>
          <w:rFonts w:hint="eastAsia"/>
          <w:color w:val="000000" w:themeColor="text1"/>
          <w14:textFill>
            <w14:solidFill>
              <w14:schemeClr w14:val="tx1"/>
            </w14:solidFill>
          </w14:textFill>
        </w:rPr>
        <w:t>车”新业态，整合市域停车位资源，打破驾车人和停车位之间的信息不对称、提高停车位利用率、降低人工管理成本、缓解交通拥堵。应用物联网技术和完善的配送网络，构建面向生产企业、流通企业和消费者的社会化公共配送体系。打造智</w:t>
      </w:r>
      <w:r>
        <w:rPr>
          <w:color w:val="000000" w:themeColor="text1"/>
          <w14:textFill>
            <w14:solidFill>
              <w14:schemeClr w14:val="tx1"/>
            </w14:solidFill>
          </w14:textFill>
        </w:rPr>
        <w:t>慧</w:t>
      </w:r>
      <w:r>
        <w:rPr>
          <w:rFonts w:hint="eastAsia"/>
          <w:color w:val="000000" w:themeColor="text1"/>
          <w14:textFill>
            <w14:solidFill>
              <w14:schemeClr w14:val="tx1"/>
            </w14:solidFill>
          </w14:textFill>
        </w:rPr>
        <w:t>物流平台，将人、车、货等要素链接起来统一调度、优化配置，推动义乌商贸服务型国家物流枢纽的数字化建设。</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探索数字就业新模式</w:t>
      </w:r>
      <w:r>
        <w:rPr>
          <w:rFonts w:hint="eastAsia"/>
          <w:color w:val="000000" w:themeColor="text1"/>
          <w14:textFill>
            <w14:solidFill>
              <w14:schemeClr w14:val="tx1"/>
            </w14:solidFill>
          </w14:textFill>
        </w:rPr>
        <w:t>。完善就业服务场景，将企业需求和个人求职需求进行快速匹配，实现快速跳转、精确匹配、弹性管理和敏捷适应环境变化，采用区块链技术，实现电子签约服务，为用工平台提供身份认证、在线签署、区块链存证、司法服务等一站式区块链电子签约服务，赋能企业实现数字化灵活用工。</w:t>
      </w:r>
      <w:r>
        <w:rPr>
          <w:color w:val="000000" w:themeColor="text1"/>
          <w14:textFill>
            <w14:solidFill>
              <w14:schemeClr w14:val="tx1"/>
            </w14:solidFill>
          </w14:textFill>
        </w:rPr>
        <w:t>推进</w:t>
      </w:r>
      <w:r>
        <w:rPr>
          <w:rFonts w:hint="eastAsia"/>
          <w:color w:val="000000" w:themeColor="text1"/>
          <w14:textFill>
            <w14:solidFill>
              <w14:schemeClr w14:val="tx1"/>
            </w14:solidFill>
          </w14:textFill>
        </w:rPr>
        <w:t>第三代社保卡应用，依托三代卡融合更多民生和金融服务功能，支持“多卡融合、一卡通用”，解决群众“一人多卡”等使用不便问题。</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深</w:t>
      </w:r>
      <w:r>
        <w:rPr>
          <w:b/>
          <w:color w:val="000000" w:themeColor="text1"/>
          <w14:textFill>
            <w14:solidFill>
              <w14:schemeClr w14:val="tx1"/>
            </w14:solidFill>
          </w14:textFill>
        </w:rPr>
        <w:t>化</w:t>
      </w:r>
      <w:r>
        <w:rPr>
          <w:rFonts w:hint="eastAsia"/>
          <w:b/>
          <w:color w:val="000000" w:themeColor="text1"/>
          <w14:textFill>
            <w14:solidFill>
              <w14:schemeClr w14:val="tx1"/>
            </w14:solidFill>
          </w14:textFill>
        </w:rPr>
        <w:t>数字文旅建设。</w:t>
      </w:r>
      <w:r>
        <w:rPr>
          <w:rFonts w:hint="eastAsia"/>
          <w:color w:val="000000" w:themeColor="text1"/>
          <w14:textFill>
            <w14:solidFill>
              <w14:schemeClr w14:val="tx1"/>
            </w14:solidFill>
          </w14:textFill>
        </w:rPr>
        <w:t>整合金华吃、住、行、旅、购、人文等领域各类基础数据，建设集营销推广、资讯发布、电子商务、行业动态、行业监管、投诉建议等功能于一体的“金华游”智慧应用，提升</w:t>
      </w:r>
      <w:r>
        <w:rPr>
          <w:color w:val="000000" w:themeColor="text1"/>
          <w14:textFill>
            <w14:solidFill>
              <w14:schemeClr w14:val="tx1"/>
            </w14:solidFill>
          </w14:textFill>
        </w:rPr>
        <w:t>文旅服务</w:t>
      </w:r>
      <w:r>
        <w:rPr>
          <w:rFonts w:hint="eastAsia"/>
          <w:color w:val="000000" w:themeColor="text1"/>
          <w14:textFill>
            <w14:solidFill>
              <w14:schemeClr w14:val="tx1"/>
            </w14:solidFill>
          </w14:textFill>
        </w:rPr>
        <w:t>水</w:t>
      </w:r>
      <w:r>
        <w:rPr>
          <w:color w:val="000000" w:themeColor="text1"/>
          <w14:textFill>
            <w14:solidFill>
              <w14:schemeClr w14:val="tx1"/>
            </w14:solidFill>
          </w14:textFill>
        </w:rPr>
        <w:t>平</w:t>
      </w:r>
      <w:r>
        <w:rPr>
          <w:rFonts w:hint="eastAsia"/>
          <w:color w:val="000000" w:themeColor="text1"/>
          <w14:textFill>
            <w14:solidFill>
              <w14:schemeClr w14:val="tx1"/>
            </w14:solidFill>
          </w14:textFill>
        </w:rPr>
        <w:t>。推进旅游创新应用试点，加快智慧旅游景区建设，探索景区门票网络预约、</w:t>
      </w:r>
      <w:r>
        <w:rPr>
          <w:rFonts w:hint="eastAsia" w:ascii="Times New Roman" w:hAnsi="Times New Roman" w:cs="Times New Roman"/>
          <w:color w:val="000000" w:themeColor="text1"/>
          <w14:textFill>
            <w14:solidFill>
              <w14:schemeClr w14:val="tx1"/>
            </w14:solidFill>
          </w14:textFill>
        </w:rPr>
        <w:t>VR</w:t>
      </w:r>
      <w:r>
        <w:rPr>
          <w:rFonts w:hint="eastAsia"/>
          <w:color w:val="000000" w:themeColor="text1"/>
          <w14:textFill>
            <w14:solidFill>
              <w14:schemeClr w14:val="tx1"/>
            </w14:solidFill>
          </w14:textFill>
        </w:rPr>
        <w:t>景区导览、人流预警等创新应用。深化“文旅融合”数字化服务，通过文化场所智能化和云上博物馆建设，整合“八婺文化”历史文化特色及横店影视文化，实现以文促旅，以旅彰文。</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创新</w:t>
      </w:r>
      <w:r>
        <w:rPr>
          <w:b/>
          <w:color w:val="000000" w:themeColor="text1"/>
          <w14:textFill>
            <w14:solidFill>
              <w14:schemeClr w14:val="tx1"/>
            </w14:solidFill>
          </w14:textFill>
        </w:rPr>
        <w:t>智慧养老</w:t>
      </w:r>
      <w:r>
        <w:rPr>
          <w:rFonts w:hint="eastAsia"/>
          <w:b/>
          <w:color w:val="000000" w:themeColor="text1"/>
          <w14:textFill>
            <w14:solidFill>
              <w14:schemeClr w14:val="tx1"/>
            </w14:solidFill>
          </w14:textFill>
        </w:rPr>
        <w:t>新</w:t>
      </w:r>
      <w:r>
        <w:rPr>
          <w:b/>
          <w:color w:val="000000" w:themeColor="text1"/>
          <w14:textFill>
            <w14:solidFill>
              <w14:schemeClr w14:val="tx1"/>
            </w14:solidFill>
          </w14:textFill>
        </w:rPr>
        <w:t>模式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发挥网格化基层治理体系的特色优势，</w:t>
      </w:r>
      <w:r>
        <w:rPr>
          <w:color w:val="000000" w:themeColor="text1"/>
          <w14:textFill>
            <w14:solidFill>
              <w14:schemeClr w14:val="tx1"/>
            </w14:solidFill>
          </w14:textFill>
        </w:rPr>
        <w:t>整合社区服务资源、社会化服务资源，</w:t>
      </w:r>
      <w:r>
        <w:rPr>
          <w:rFonts w:hint="eastAsia"/>
          <w:color w:val="000000" w:themeColor="text1"/>
          <w14:textFill>
            <w14:solidFill>
              <w14:schemeClr w14:val="tx1"/>
            </w14:solidFill>
          </w14:textFill>
        </w:rPr>
        <w:t>打造社区养老“最后</w:t>
      </w:r>
      <w:r>
        <w:rPr>
          <w:rFonts w:hint="eastAsia" w:ascii="Times New Roman" w:hAnsi="Times New Roman" w:cs="Times New Roman"/>
          <w:color w:val="000000" w:themeColor="text1"/>
          <w14:textFill>
            <w14:solidFill>
              <w14:schemeClr w14:val="tx1"/>
            </w14:solidFill>
          </w14:textFill>
        </w:rPr>
        <w:t>100</w:t>
      </w:r>
      <w:r>
        <w:rPr>
          <w:rFonts w:hint="eastAsia"/>
          <w:color w:val="000000" w:themeColor="text1"/>
          <w14:textFill>
            <w14:solidFill>
              <w14:schemeClr w14:val="tx1"/>
            </w14:solidFill>
          </w14:textFill>
        </w:rPr>
        <w:t>米”综合服务平台，</w:t>
      </w:r>
      <w:r>
        <w:rPr>
          <w:color w:val="000000" w:themeColor="text1"/>
          <w14:textFill>
            <w14:solidFill>
              <w14:schemeClr w14:val="tx1"/>
            </w14:solidFill>
          </w14:textFill>
        </w:rPr>
        <w:t>及时高效地为老年人提供居家养老服务</w:t>
      </w:r>
      <w:r>
        <w:rPr>
          <w:rFonts w:hint="eastAsia"/>
          <w:color w:val="000000" w:themeColor="text1"/>
          <w14:textFill>
            <w14:solidFill>
              <w14:schemeClr w14:val="tx1"/>
            </w14:solidFill>
          </w14:textFill>
        </w:rPr>
        <w:t>。加强物联感知和智能设备运用，通过采集健康数据，利用大数据分析等技术，远程评估健康状况，为老年人提供个性化服务。通过开展长者智能技术运用能力提升行动、推出涉及老年人的高频事项和服务场景主动服务等方式，切实解决老年人在运用智能技术方面遇到的“数字鸿沟”问题，确保跨入数字新时代过程中“一个都不少”。</w:t>
      </w:r>
    </w:p>
    <w:p>
      <w:pPr>
        <w:pStyle w:val="33"/>
        <w:ind w:firstLine="643"/>
        <w:rPr>
          <w:color w:val="000000" w:themeColor="text1"/>
          <w14:textFill>
            <w14:solidFill>
              <w14:schemeClr w14:val="tx1"/>
            </w14:solidFill>
          </w14:textFill>
        </w:rPr>
      </w:pPr>
      <w:r>
        <w:rPr>
          <w:rFonts w:hint="eastAsia"/>
          <w:b/>
        </w:rPr>
        <w:t>推动全民健身一体化服务。</w:t>
      </w:r>
      <w:r>
        <w:rPr>
          <w:rFonts w:hint="eastAsia"/>
        </w:rPr>
        <w:t>建设</w:t>
      </w:r>
      <w:r>
        <w:t>全民</w:t>
      </w:r>
      <w:r>
        <w:rPr>
          <w:rFonts w:hint="eastAsia"/>
        </w:rPr>
        <w:t>健</w:t>
      </w:r>
      <w:r>
        <w:t>身一体化服务平台，</w:t>
      </w:r>
      <w:r>
        <w:rPr>
          <w:rFonts w:hint="eastAsia"/>
        </w:rPr>
        <w:t>采用移动互联网、云计算、大数据、物联网等数</w:t>
      </w:r>
      <w:r>
        <w:t>字化技术，</w:t>
      </w:r>
      <w:r>
        <w:rPr>
          <w:rFonts w:hint="eastAsia"/>
        </w:rPr>
        <w:t>为人民群众提供体育场地选</w:t>
      </w:r>
      <w:r>
        <w:t>择</w:t>
      </w:r>
      <w:r>
        <w:rPr>
          <w:rFonts w:hint="eastAsia"/>
        </w:rPr>
        <w:t>、体育社群查</w:t>
      </w:r>
      <w:r>
        <w:t>询</w:t>
      </w:r>
      <w:r>
        <w:rPr>
          <w:rFonts w:hint="eastAsia"/>
        </w:rPr>
        <w:t>、体育活动交</w:t>
      </w:r>
      <w:r>
        <w:t>流</w:t>
      </w:r>
      <w:r>
        <w:rPr>
          <w:rFonts w:hint="eastAsia"/>
        </w:rPr>
        <w:t>、体育线</w:t>
      </w:r>
      <w:r>
        <w:t>上</w:t>
      </w:r>
      <w:r>
        <w:rPr>
          <w:rFonts w:hint="eastAsia"/>
        </w:rPr>
        <w:t>指导、体质线</w:t>
      </w:r>
      <w:r>
        <w:t>上</w:t>
      </w:r>
      <w:r>
        <w:rPr>
          <w:rFonts w:hint="eastAsia"/>
        </w:rPr>
        <w:t>测试等多元化运动健身服务，满足人民群众对体育健身多层次、多样化和就近运动的需求。</w:t>
      </w:r>
    </w:p>
    <w:p>
      <w:pPr>
        <w:pStyle w:val="3"/>
        <w:numPr>
          <w:ilvl w:val="0"/>
          <w:numId w:val="2"/>
        </w:numPr>
        <w:spacing w:before="0" w:after="0"/>
        <w:ind w:firstLineChars="0"/>
        <w:rPr>
          <w:color w:val="000000" w:themeColor="text1"/>
          <w14:textFill>
            <w14:solidFill>
              <w14:schemeClr w14:val="tx1"/>
            </w14:solidFill>
          </w14:textFill>
        </w:rPr>
      </w:pPr>
      <w:bookmarkStart w:id="20" w:name="_Toc84600833"/>
      <w:r>
        <w:rPr>
          <w:rFonts w:hint="eastAsia"/>
          <w:color w:val="000000" w:themeColor="text1"/>
          <w14:textFill>
            <w14:solidFill>
              <w14:schemeClr w14:val="tx1"/>
            </w14:solidFill>
          </w14:textFill>
        </w:rPr>
        <w:t>构建智能精准的政府治理体系</w:t>
      </w:r>
      <w:bookmarkEnd w:id="20"/>
      <w:r>
        <w:rPr>
          <w:color w:val="000000" w:themeColor="text1"/>
          <w14:textFill>
            <w14:solidFill>
              <w14:schemeClr w14:val="tx1"/>
            </w14:solidFill>
          </w14:textFill>
        </w:rPr>
        <w:t xml:space="preserve"> </w:t>
      </w:r>
    </w:p>
    <w:p>
      <w:pPr>
        <w:pStyle w:val="4"/>
        <w:numPr>
          <w:ilvl w:val="0"/>
          <w:numId w:val="5"/>
        </w:numPr>
        <w:ind w:hanging="423"/>
        <w:rPr>
          <w:rFonts w:ascii="楷体" w:hAnsi="楷体"/>
          <w:b w:val="0"/>
          <w:color w:val="000000" w:themeColor="text1"/>
          <w14:textFill>
            <w14:solidFill>
              <w14:schemeClr w14:val="tx1"/>
            </w14:solidFill>
          </w14:textFill>
        </w:rPr>
      </w:pPr>
      <w:bookmarkStart w:id="21" w:name="_Toc84600834"/>
      <w:r>
        <w:rPr>
          <w:rFonts w:hint="eastAsia" w:ascii="楷体" w:hAnsi="楷体"/>
          <w:b w:val="0"/>
          <w:color w:val="000000" w:themeColor="text1"/>
          <w14:textFill>
            <w14:solidFill>
              <w14:schemeClr w14:val="tx1"/>
            </w14:solidFill>
          </w14:textFill>
        </w:rPr>
        <w:t>强化</w:t>
      </w:r>
      <w:r>
        <w:rPr>
          <w:rFonts w:ascii="楷体" w:hAnsi="楷体"/>
          <w:b w:val="0"/>
          <w:color w:val="000000" w:themeColor="text1"/>
          <w14:textFill>
            <w14:solidFill>
              <w14:schemeClr w14:val="tx1"/>
            </w14:solidFill>
          </w14:textFill>
        </w:rPr>
        <w:t>科学</w:t>
      </w:r>
      <w:r>
        <w:rPr>
          <w:rFonts w:hint="eastAsia" w:ascii="楷体" w:hAnsi="楷体"/>
          <w:b w:val="0"/>
          <w:color w:val="000000" w:themeColor="text1"/>
          <w14:textFill>
            <w14:solidFill>
              <w14:schemeClr w14:val="tx1"/>
            </w14:solidFill>
          </w14:textFill>
        </w:rPr>
        <w:t>精准的经济治理</w:t>
      </w:r>
      <w:bookmarkEnd w:id="21"/>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推进产业大脑建设</w:t>
      </w:r>
      <w:r>
        <w:rPr>
          <w:rFonts w:hint="eastAsia"/>
          <w:color w:val="000000" w:themeColor="text1"/>
          <w14:textFill>
            <w14:solidFill>
              <w14:schemeClr w14:val="tx1"/>
            </w14:solidFill>
          </w14:textFill>
        </w:rPr>
        <w:t>。以“产业大脑+未来工厂”为核心，以数据供应链为纽带，强化资源要素的高效配置，综合集成数据中枢系统，实现经济运行的动态监测和科学分析。积极接入省级经济运行分析数字化应用平台，建立健全金华市经济运行监测分析基础数据库，加快实现省市县纵向联动和本市横向数据协</w:t>
      </w:r>
      <w:r>
        <w:rPr>
          <w:color w:val="000000" w:themeColor="text1"/>
          <w14:textFill>
            <w14:solidFill>
              <w14:schemeClr w14:val="tx1"/>
            </w14:solidFill>
          </w14:textFill>
        </w:rPr>
        <w:t>同</w:t>
      </w:r>
      <w:r>
        <w:rPr>
          <w:rFonts w:hint="eastAsia"/>
          <w:color w:val="000000" w:themeColor="text1"/>
          <w14:textFill>
            <w14:solidFill>
              <w14:schemeClr w14:val="tx1"/>
            </w14:solidFill>
          </w14:textFill>
        </w:rPr>
        <w:t>应用。开展适合区域经济特点的指标体系、评价模型和算法模型研究，构建全市宏观经济、区域经济、行业经济等领域数字化分析系统，加强全市经济动态监测、趋势研判，对重点行业、重点企业的运行状况进行监测分析。</w:t>
      </w:r>
    </w:p>
    <w:p>
      <w:pPr>
        <w:pStyle w:val="33"/>
        <w:ind w:firstLine="643"/>
        <w:rPr>
          <w:b/>
          <w:color w:val="000000" w:themeColor="text1"/>
          <w14:textFill>
            <w14:solidFill>
              <w14:schemeClr w14:val="tx1"/>
            </w14:solidFill>
          </w14:textFill>
        </w:rPr>
      </w:pPr>
      <w:r>
        <w:rPr>
          <w:rFonts w:hint="eastAsia"/>
          <w:b/>
          <w:color w:val="000000" w:themeColor="text1"/>
          <w14:textFill>
            <w14:solidFill>
              <w14:schemeClr w14:val="tx1"/>
            </w14:solidFill>
          </w14:textFill>
        </w:rPr>
        <w:t>打造产业发展应用系统。</w:t>
      </w:r>
      <w:r>
        <w:rPr>
          <w:rFonts w:hint="eastAsia"/>
          <w:color w:val="000000" w:themeColor="text1"/>
          <w14:textFill>
            <w14:solidFill>
              <w14:schemeClr w14:val="tx1"/>
            </w14:solidFill>
          </w14:textFill>
        </w:rPr>
        <w:t>建立大数据产业发展应用平台，对各部门经济数据进行汇聚分析，通过经济活动模型化、经济政策标准化、产业变动可视化，预测产业集聚发展的方向、产业合作的发展情况等，智能输出最优的政策组合推荐，提升产业经济政策科学水平。</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推进智</w:t>
      </w:r>
      <w:r>
        <w:rPr>
          <w:b/>
          <w:color w:val="000000" w:themeColor="text1"/>
          <w14:textFill>
            <w14:solidFill>
              <w14:schemeClr w14:val="tx1"/>
            </w14:solidFill>
          </w14:textFill>
        </w:rPr>
        <w:t>能化</w:t>
      </w:r>
      <w:r>
        <w:rPr>
          <w:rFonts w:hint="eastAsia"/>
          <w:b/>
          <w:color w:val="000000" w:themeColor="text1"/>
          <w14:textFill>
            <w14:solidFill>
              <w14:schemeClr w14:val="tx1"/>
            </w14:solidFill>
          </w14:textFill>
        </w:rPr>
        <w:t>生</w:t>
      </w:r>
      <w:r>
        <w:rPr>
          <w:b/>
          <w:color w:val="000000" w:themeColor="text1"/>
          <w14:textFill>
            <w14:solidFill>
              <w14:schemeClr w14:val="tx1"/>
            </w14:solidFill>
          </w14:textFill>
        </w:rPr>
        <w:t>产及运营管理</w:t>
      </w:r>
      <w:r>
        <w:rPr>
          <w:rFonts w:hint="eastAsia"/>
          <w:color w:val="000000" w:themeColor="text1"/>
          <w14:textFill>
            <w14:solidFill>
              <w14:schemeClr w14:val="tx1"/>
            </w14:solidFill>
          </w14:textFill>
        </w:rPr>
        <w:t>。充分整合各方面资源和力量，着力提供高质量科技供给，广泛运用“互联</w:t>
      </w:r>
      <w:r>
        <w:rPr>
          <w:rFonts w:hint="eastAsia" w:ascii="Times New Roman" w:hAnsi="Times New Roman" w:cs="Times New Roman"/>
          <w:color w:val="000000" w:themeColor="text1"/>
          <w14:textFill>
            <w14:solidFill>
              <w14:schemeClr w14:val="tx1"/>
            </w14:solidFill>
          </w14:textFill>
        </w:rPr>
        <w:t>网+</w:t>
      </w:r>
      <w:r>
        <w:rPr>
          <w:rFonts w:hint="eastAsia"/>
          <w:color w:val="000000" w:themeColor="text1"/>
          <w14:textFill>
            <w14:solidFill>
              <w14:schemeClr w14:val="tx1"/>
            </w14:solidFill>
          </w14:textFill>
        </w:rPr>
        <w:t>”、大数据、人工智能、物联网等技术，加快“无人车间”“未来工厂”“物联网工厂”建设，全链条数字化改造汽车零部件、纺织服装制造、小商品制造、五金制造等传统优势产业，以加快推动产业优化升级。</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全力打造科技创新</w:t>
      </w:r>
      <w:r>
        <w:rPr>
          <w:b/>
          <w:color w:val="000000" w:themeColor="text1"/>
          <w14:textFill>
            <w14:solidFill>
              <w14:schemeClr w14:val="tx1"/>
            </w14:solidFill>
          </w14:textFill>
        </w:rPr>
        <w:t>应用</w:t>
      </w:r>
      <w:r>
        <w:rPr>
          <w:rFonts w:hint="eastAsia"/>
          <w:color w:val="000000" w:themeColor="text1"/>
          <w14:textFill>
            <w14:solidFill>
              <w14:schemeClr w14:val="tx1"/>
            </w14:solidFill>
          </w14:textFill>
        </w:rPr>
        <w:t>。打造高层次科技创新服务平台作为推动科技进步、创新发展、经济增长的关键举措和核心抓手，重点围绕三大科创高地建设开展应用创新。运用大数据分析研判，对科技资源进行统一配置，强化创新主体地位，大力培育科技创新主体，积极推进协同创新发展，促进科技金融深度融合，加速科技成果转化落地。</w:t>
      </w:r>
    </w:p>
    <w:p>
      <w:pPr>
        <w:pStyle w:val="33"/>
        <w:ind w:firstLine="643"/>
        <w:rPr>
          <w:color w:val="000000" w:themeColor="text1"/>
          <w14:textFill>
            <w14:solidFill>
              <w14:schemeClr w14:val="tx1"/>
            </w14:solidFill>
          </w14:textFill>
        </w:rPr>
      </w:pPr>
      <w:r>
        <w:rPr>
          <w:b/>
          <w:color w:val="000000" w:themeColor="text1"/>
          <w14:textFill>
            <w14:solidFill>
              <w14:schemeClr w14:val="tx1"/>
            </w14:solidFill>
          </w14:textFill>
        </w:rPr>
        <w:t>提升</w:t>
      </w:r>
      <w:r>
        <w:rPr>
          <w:rFonts w:hint="eastAsia"/>
          <w:b/>
          <w:color w:val="000000" w:themeColor="text1"/>
          <w14:textFill>
            <w14:solidFill>
              <w14:schemeClr w14:val="tx1"/>
            </w14:solidFill>
          </w14:textFill>
        </w:rPr>
        <w:t>小微园区精细治理能力。</w:t>
      </w:r>
      <w:r>
        <w:rPr>
          <w:rFonts w:hint="eastAsia"/>
          <w:color w:val="000000" w:themeColor="text1"/>
          <w14:textFill>
            <w14:solidFill>
              <w14:schemeClr w14:val="tx1"/>
            </w14:solidFill>
          </w14:textFill>
        </w:rPr>
        <w:t>通过政府数据、园区数据和企业数据的互联互通，实时动态跟踪企业经济运行质态，全面掌握区域范围内小微园区产业结构、人才分布及企业生产能力、税收上缴、盈利等情况，为企业提供人才、政策、资金等一站式的精准便利服务，构建一体化协同服务体系，实现全方位智能化运营管理，助力小微园区企业快速持续发展。</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推进小商品电子商务创新发展</w:t>
      </w:r>
      <w:r>
        <w:rPr>
          <w:rFonts w:hint="eastAsia"/>
          <w:color w:val="000000" w:themeColor="text1"/>
          <w14:textFill>
            <w14:solidFill>
              <w14:schemeClr w14:val="tx1"/>
            </w14:solidFill>
          </w14:textFill>
        </w:rPr>
        <w:t>。以义乌小商品市场为主体，运</w:t>
      </w:r>
      <w:r>
        <w:rPr>
          <w:rFonts w:hint="eastAsia" w:ascii="Times New Roman" w:hAnsi="Times New Roman" w:cs="Times New Roman"/>
          <w:color w:val="000000" w:themeColor="text1"/>
          <w14:textFill>
            <w14:solidFill>
              <w14:schemeClr w14:val="tx1"/>
            </w14:solidFill>
          </w14:textFill>
        </w:rPr>
        <w:t>用5G、</w:t>
      </w:r>
      <w:r>
        <w:rPr>
          <w:rFonts w:hint="eastAsia"/>
          <w:color w:val="000000" w:themeColor="text1"/>
          <w14:textFill>
            <w14:solidFill>
              <w14:schemeClr w14:val="tx1"/>
            </w14:solidFill>
          </w14:textFill>
        </w:rPr>
        <w:t>物联网、区块链、人工智能等新数字技术，推动小商品电子商务创新发展，推动小商品企业品牌化、品质化发展，推进电子商务与市场采购、交通物流、电子支付、外贸综合服务企业等外贸新业态融合发展。</w:t>
      </w:r>
    </w:p>
    <w:p>
      <w:pPr>
        <w:pStyle w:val="4"/>
        <w:numPr>
          <w:ilvl w:val="0"/>
          <w:numId w:val="5"/>
        </w:numPr>
        <w:ind w:hanging="423"/>
        <w:rPr>
          <w:rFonts w:ascii="楷体" w:hAnsi="楷体"/>
          <w:b w:val="0"/>
          <w:color w:val="000000" w:themeColor="text1"/>
          <w14:textFill>
            <w14:solidFill>
              <w14:schemeClr w14:val="tx1"/>
            </w14:solidFill>
          </w14:textFill>
        </w:rPr>
      </w:pPr>
      <w:bookmarkStart w:id="22" w:name="_Toc84600835"/>
      <w:r>
        <w:rPr>
          <w:rFonts w:hint="eastAsia" w:ascii="楷体" w:hAnsi="楷体"/>
          <w:b w:val="0"/>
          <w:color w:val="000000" w:themeColor="text1"/>
          <w14:textFill>
            <w14:solidFill>
              <w14:schemeClr w14:val="tx1"/>
            </w14:solidFill>
          </w14:textFill>
        </w:rPr>
        <w:t>构建精细智治的社会</w:t>
      </w:r>
      <w:r>
        <w:rPr>
          <w:rFonts w:ascii="楷体" w:hAnsi="楷体"/>
          <w:b w:val="0"/>
          <w:color w:val="000000" w:themeColor="text1"/>
          <w14:textFill>
            <w14:solidFill>
              <w14:schemeClr w14:val="tx1"/>
            </w14:solidFill>
          </w14:textFill>
        </w:rPr>
        <w:t>治理</w:t>
      </w:r>
      <w:bookmarkEnd w:id="22"/>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健全精细化城乡</w:t>
      </w:r>
      <w:r>
        <w:rPr>
          <w:b/>
          <w:color w:val="000000" w:themeColor="text1"/>
          <w14:textFill>
            <w14:solidFill>
              <w14:schemeClr w14:val="tx1"/>
            </w14:solidFill>
          </w14:textFill>
        </w:rPr>
        <w:t>基层治理体系</w:t>
      </w:r>
      <w:r>
        <w:rPr>
          <w:rFonts w:hint="eastAsia"/>
          <w:b/>
          <w:color w:val="000000" w:themeColor="text1"/>
          <w14:textFill>
            <w14:solidFill>
              <w14:schemeClr w14:val="tx1"/>
            </w14:solidFill>
          </w14:textFill>
        </w:rPr>
        <w:t>。</w:t>
      </w:r>
      <w:r>
        <w:rPr>
          <w:rFonts w:hint="eastAsia"/>
          <w:color w:val="000000" w:themeColor="text1"/>
          <w14:textFill>
            <w14:solidFill>
              <w14:schemeClr w14:val="tx1"/>
            </w14:solidFill>
          </w14:textFill>
        </w:rPr>
        <w:t>加强和创新社会治理，健全党建统领“四治融合”的城乡基层治理体系。构建市域社会治理智慧平台，实现“一中心、四平台、一网格”上下联动、左右协同的市域社会治理新模式。完善基层治理指挥中心建设，逐步将城市管理、社会治安、</w:t>
      </w:r>
      <w:r>
        <w:rPr>
          <w:color w:val="000000" w:themeColor="text1"/>
          <w14:textFill>
            <w14:solidFill>
              <w14:schemeClr w14:val="tx1"/>
            </w14:solidFill>
          </w14:textFill>
        </w:rPr>
        <w:t>安全监管</w:t>
      </w:r>
      <w:r>
        <w:rPr>
          <w:rFonts w:hint="eastAsia"/>
          <w:color w:val="000000" w:themeColor="text1"/>
          <w14:textFill>
            <w14:solidFill>
              <w14:schemeClr w14:val="tx1"/>
            </w14:solidFill>
          </w14:textFill>
        </w:rPr>
        <w:t>等职能部门与指挥中心对接，实现线上线下纵向贯通、部门之间左右联通，集“指挥调度、信息互通、优势互补、工作联动、实体运转”多位一体的基层治理指挥中心。深化“基层治理四平台”建设，规范扩大部门数据共享，高效推进网格事件协同，全面推广“多通融合”模式，推进全市统一网格地图绘制和标准地址落图工作。</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健全社会矛盾纠纷调处化解平台。</w:t>
      </w:r>
      <w:r>
        <w:rPr>
          <w:rFonts w:hint="eastAsia"/>
          <w:color w:val="000000" w:themeColor="text1"/>
          <w14:textFill>
            <w14:solidFill>
              <w14:schemeClr w14:val="tx1"/>
            </w14:solidFill>
          </w14:textFill>
        </w:rPr>
        <w:t>统筹整合全市信访、司法行政、公安、法院、人力社保等部门矛盾纠纷调处化解信息平台，建设金华</w:t>
      </w:r>
      <w:r>
        <w:rPr>
          <w:rFonts w:ascii="Times New Roman" w:hAnsi="Times New Roman" w:cs="Times New Roman"/>
          <w:color w:val="000000" w:themeColor="text1"/>
          <w14:textFill>
            <w14:solidFill>
              <w14:schemeClr w14:val="tx1"/>
            </w14:solidFill>
          </w14:textFill>
        </w:rPr>
        <w:t>市12345（8890）</w:t>
      </w:r>
      <w:r>
        <w:rPr>
          <w:rFonts w:hint="eastAsia"/>
          <w:color w:val="000000" w:themeColor="text1"/>
          <w14:textFill>
            <w14:solidFill>
              <w14:schemeClr w14:val="tx1"/>
            </w14:solidFill>
          </w14:textFill>
        </w:rPr>
        <w:t>智能应用平台，提高解决问题实效增强人民群众获得感幸福感安全感。</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强化</w:t>
      </w:r>
      <w:r>
        <w:rPr>
          <w:b/>
          <w:color w:val="000000" w:themeColor="text1"/>
          <w14:textFill>
            <w14:solidFill>
              <w14:schemeClr w14:val="tx1"/>
            </w14:solidFill>
          </w14:textFill>
        </w:rPr>
        <w:t>社会治安防控智能化</w:t>
      </w:r>
      <w:r>
        <w:rPr>
          <w:rFonts w:hint="eastAsia"/>
          <w:b/>
          <w:color w:val="000000" w:themeColor="text1"/>
          <w14:textFill>
            <w14:solidFill>
              <w14:schemeClr w14:val="tx1"/>
            </w14:solidFill>
          </w14:textFill>
        </w:rPr>
        <w:t>应用。</w:t>
      </w:r>
      <w:r>
        <w:rPr>
          <w:rFonts w:hint="eastAsia"/>
          <w:color w:val="000000" w:themeColor="text1"/>
          <w14:textFill>
            <w14:solidFill>
              <w14:schemeClr w14:val="tx1"/>
            </w14:solidFill>
          </w14:textFill>
        </w:rPr>
        <w:t>深化“雪亮工程”建设，加快推进以“雪亮工程”视频数据分析为基础的各领域应用，推动公安与其他部门的协同，丰富多业务协同场景应用。打造智慧矫正应用，完成社区矫正对象信息与市公安局安防系统数据对接交换，建设社区矫正“一张图”。推进“云上公安、智慧警务”大数据应用建设，深化</w:t>
      </w:r>
      <w:r>
        <w:rPr>
          <w:rFonts w:hint="eastAsia" w:ascii="Times New Roman" w:hAnsi="Times New Roman" w:cs="Times New Roman"/>
          <w:color w:val="000000" w:themeColor="text1"/>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G技术与警务工作融合</w:t>
      </w:r>
      <w:r>
        <w:rPr>
          <w:rFonts w:hint="eastAsia" w:ascii="Times New Roman" w:hAnsi="Times New Roman" w:cs="Times New Roman"/>
          <w:color w:val="000000" w:themeColor="text1"/>
          <w14:textFill>
            <w14:solidFill>
              <w14:schemeClr w14:val="tx1"/>
            </w14:solidFill>
          </w14:textFill>
        </w:rPr>
        <w:t>，通过建设5G警用无人机、5G警用机器人、AR智</w:t>
      </w:r>
      <w:r>
        <w:rPr>
          <w:rFonts w:hint="eastAsia"/>
          <w:color w:val="000000" w:themeColor="text1"/>
          <w14:textFill>
            <w14:solidFill>
              <w14:schemeClr w14:val="tx1"/>
            </w14:solidFill>
          </w14:textFill>
        </w:rPr>
        <w:t>能眼镜等，进一步提升公安的“智慧警务”实战。以大数据、人工智能等技术为依托，全面推进一批智慧创新应用建设，研发一批数据分析模型、开发一批数据亮点应用，提高公共安全监管水平和警务执法的效率。深</w:t>
      </w:r>
      <w:r>
        <w:rPr>
          <w:color w:val="000000" w:themeColor="text1"/>
          <w14:textFill>
            <w14:solidFill>
              <w14:schemeClr w14:val="tx1"/>
            </w14:solidFill>
          </w14:textFill>
        </w:rPr>
        <w:t>化</w:t>
      </w:r>
      <w:r>
        <w:rPr>
          <w:rFonts w:hint="eastAsia"/>
          <w:color w:val="000000" w:themeColor="text1"/>
          <w14:textFill>
            <w14:solidFill>
              <w14:schemeClr w14:val="tx1"/>
            </w14:solidFill>
          </w14:textFill>
        </w:rPr>
        <w:t>交通事故处置智能化应用，以推广轻微</w:t>
      </w:r>
      <w:r>
        <w:rPr>
          <w:color w:val="000000" w:themeColor="text1"/>
          <w14:textFill>
            <w14:solidFill>
              <w14:schemeClr w14:val="tx1"/>
            </w14:solidFill>
          </w14:textFill>
        </w:rPr>
        <w:t>物损交通事故一键报警</w:t>
      </w:r>
      <w:r>
        <w:rPr>
          <w:rFonts w:hint="eastAsia"/>
          <w:color w:val="000000" w:themeColor="text1"/>
          <w14:textFill>
            <w14:solidFill>
              <w14:schemeClr w14:val="tx1"/>
            </w14:solidFill>
          </w14:textFill>
        </w:rPr>
        <w:t>应用为切入点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打通“警保”数据</w:t>
      </w:r>
      <w:r>
        <w:rPr>
          <w:color w:val="000000" w:themeColor="text1"/>
          <w14:textFill>
            <w14:solidFill>
              <w14:schemeClr w14:val="tx1"/>
            </w14:solidFill>
          </w14:textFill>
        </w:rPr>
        <w:t>壁垒</w:t>
      </w:r>
      <w:r>
        <w:rPr>
          <w:rFonts w:hint="eastAsia"/>
          <w:color w:val="000000" w:themeColor="text1"/>
          <w14:textFill>
            <w14:solidFill>
              <w14:schemeClr w14:val="tx1"/>
            </w14:solidFill>
          </w14:textFill>
        </w:rPr>
        <w:t>，创新数字化取证手段和数字化技术应用，提高事故纠纷处置效率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推广“智安小区”“智安单位”应用，充分利用互联网、人工智能、物联网等技术和信息化手段，实现对小区整体社情、警情的智能预测预警，提升社区治理智能化水平，提高群众安全感和满意度。</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推进农业农村治理数字化。</w:t>
      </w:r>
      <w:r>
        <w:rPr>
          <w:rFonts w:hint="eastAsia"/>
          <w:color w:val="000000" w:themeColor="text1"/>
          <w14:textFill>
            <w14:solidFill>
              <w14:schemeClr w14:val="tx1"/>
            </w14:solidFill>
          </w14:textFill>
        </w:rPr>
        <w:t>打造乡村振兴应用，构建一批成熟的数字乡村场景应用，</w:t>
      </w:r>
      <w:r>
        <w:rPr>
          <w:color w:val="000000" w:themeColor="text1"/>
          <w14:textFill>
            <w14:solidFill>
              <w14:schemeClr w14:val="tx1"/>
            </w14:solidFill>
          </w14:textFill>
        </w:rPr>
        <w:t>利用</w:t>
      </w:r>
      <w:r>
        <w:rPr>
          <w:rFonts w:hint="eastAsia"/>
          <w:color w:val="000000" w:themeColor="text1"/>
          <w14:textFill>
            <w14:solidFill>
              <w14:schemeClr w14:val="tx1"/>
            </w14:solidFill>
          </w14:textFill>
        </w:rPr>
        <w:t>地理信息、遥感测绘、人工智能等技术，汇聚农作物面积、种类、农业类型和分布等多源农业农村数据，提供监测服务以及农业物联网感知网络，构建“数字乡村一张图”。推进农业现代化建设，实现对农民田间管理的科学指导，为农业政策的制定提供数据支撑。进一步丰富、优化基层办事、服务、管理等功能，加大农民农村“一件事”建设力度，让基层群众可视、可触、可参与，进一步扩大群众在基层治理中的参与度和获得感，促进基层治理高效透明。</w:t>
      </w:r>
    </w:p>
    <w:p>
      <w:pPr>
        <w:pStyle w:val="33"/>
        <w:ind w:firstLine="643"/>
        <w:rPr>
          <w:color w:val="000000" w:themeColor="text1"/>
          <w14:textFill>
            <w14:solidFill>
              <w14:schemeClr w14:val="tx1"/>
            </w14:solidFill>
          </w14:textFill>
        </w:rPr>
      </w:pPr>
      <w:r>
        <w:rPr>
          <w:b/>
          <w:color w:val="000000" w:themeColor="text1"/>
          <w14:textFill>
            <w14:solidFill>
              <w14:schemeClr w14:val="tx1"/>
            </w14:solidFill>
          </w14:textFill>
        </w:rPr>
        <w:t>提升国土空间治理现代化水平</w:t>
      </w:r>
      <w:r>
        <w:rPr>
          <w:rFonts w:hint="eastAsia"/>
          <w:b/>
          <w:color w:val="000000" w:themeColor="text1"/>
          <w14:textFill>
            <w14:solidFill>
              <w14:schemeClr w14:val="tx1"/>
            </w14:solidFill>
          </w14:textFill>
        </w:rPr>
        <w:t>。</w:t>
      </w:r>
      <w:r>
        <w:rPr>
          <w:rFonts w:hint="eastAsia"/>
          <w:color w:val="000000" w:themeColor="text1"/>
          <w14:textFill>
            <w14:solidFill>
              <w14:schemeClr w14:val="tx1"/>
            </w14:solidFill>
          </w14:textFill>
        </w:rPr>
        <w:t>整合叠加各级各类国土空间规划成果，实现各类空间管控要素精准落地，形成覆盖全市的国土空间规划“一张图”，统筹各类空间性规划，推进“多规合一”，提升国土空间治理能力，优化国土空间开发格局。建立自然资源监管平台，通过对汇聚、采集、更新、积累的各类土地、矿产、森林、草原、湿地、水等数据资源进行整合和展示，形成自然资源“一张图”，实现自然资源全域管理，提高自然资源利用价值。</w:t>
      </w:r>
    </w:p>
    <w:p>
      <w:pPr>
        <w:pStyle w:val="4"/>
        <w:numPr>
          <w:ilvl w:val="0"/>
          <w:numId w:val="5"/>
        </w:numPr>
        <w:ind w:hanging="423"/>
        <w:rPr>
          <w:rFonts w:ascii="楷体" w:hAnsi="楷体"/>
          <w:b w:val="0"/>
          <w:color w:val="000000" w:themeColor="text1"/>
          <w14:textFill>
            <w14:solidFill>
              <w14:schemeClr w14:val="tx1"/>
            </w14:solidFill>
          </w14:textFill>
        </w:rPr>
      </w:pPr>
      <w:bookmarkStart w:id="23" w:name="_Toc84600836"/>
      <w:r>
        <w:rPr>
          <w:rFonts w:hint="eastAsia" w:ascii="楷体" w:hAnsi="楷体"/>
          <w:b w:val="0"/>
          <w:color w:val="000000" w:themeColor="text1"/>
          <w14:textFill>
            <w14:solidFill>
              <w14:schemeClr w14:val="tx1"/>
            </w14:solidFill>
          </w14:textFill>
        </w:rPr>
        <w:t>完善智能联动的生态治理</w:t>
      </w:r>
      <w:bookmarkEnd w:id="23"/>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实现生态环境精准化监管</w:t>
      </w:r>
      <w:r>
        <w:rPr>
          <w:rFonts w:hint="eastAsia"/>
          <w:color w:val="000000" w:themeColor="text1"/>
          <w14:textFill>
            <w14:solidFill>
              <w14:schemeClr w14:val="tx1"/>
            </w14:solidFill>
          </w14:textFill>
        </w:rPr>
        <w:t>。利用高分遥感、北斗卫星等地理空间数据和地面传感器，实现对生态要素的监测和预警；通过数据整合共享、关联分析和综合研判，实现生态监管精准化。提升环境承载能力的监测及预警水平，建立涵盖生态环境全要素的主题数据库，完善资源环境承载能力评估分析与预警模型，加强生态环境质量、污染源、污染物、环境承载力等监测，推动生态环境治理联防联控，推动区域环境质量持续改善。</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w:t>
      </w:r>
      <w:r>
        <w:rPr>
          <w:b/>
          <w:color w:val="000000" w:themeColor="text1"/>
          <w14:textFill>
            <w14:solidFill>
              <w14:schemeClr w14:val="tx1"/>
            </w14:solidFill>
          </w14:textFill>
        </w:rPr>
        <w:t>进</w:t>
      </w:r>
      <w:r>
        <w:rPr>
          <w:rFonts w:hint="eastAsia"/>
          <w:b/>
          <w:color w:val="000000" w:themeColor="text1"/>
          <w14:textFill>
            <w14:solidFill>
              <w14:schemeClr w14:val="tx1"/>
            </w14:solidFill>
          </w14:textFill>
        </w:rPr>
        <w:t>生</w:t>
      </w:r>
      <w:r>
        <w:rPr>
          <w:b/>
          <w:color w:val="000000" w:themeColor="text1"/>
          <w14:textFill>
            <w14:solidFill>
              <w14:schemeClr w14:val="tx1"/>
            </w14:solidFill>
          </w14:textFill>
        </w:rPr>
        <w:t>态</w:t>
      </w:r>
      <w:r>
        <w:rPr>
          <w:rFonts w:hint="eastAsia"/>
          <w:b/>
          <w:color w:val="000000" w:themeColor="text1"/>
          <w14:textFill>
            <w14:solidFill>
              <w14:schemeClr w14:val="tx1"/>
            </w14:solidFill>
          </w14:textFill>
        </w:rPr>
        <w:t>环</w:t>
      </w:r>
      <w:r>
        <w:rPr>
          <w:b/>
          <w:color w:val="000000" w:themeColor="text1"/>
          <w14:textFill>
            <w14:solidFill>
              <w14:schemeClr w14:val="tx1"/>
            </w14:solidFill>
          </w14:textFill>
        </w:rPr>
        <w:t>保</w:t>
      </w:r>
      <w:r>
        <w:rPr>
          <w:rFonts w:hint="eastAsia"/>
          <w:b/>
          <w:color w:val="000000" w:themeColor="text1"/>
          <w14:textFill>
            <w14:solidFill>
              <w14:schemeClr w14:val="tx1"/>
            </w14:solidFill>
          </w14:textFill>
        </w:rPr>
        <w:t>智能</w:t>
      </w:r>
      <w:r>
        <w:rPr>
          <w:b/>
          <w:color w:val="000000" w:themeColor="text1"/>
          <w14:textFill>
            <w14:solidFill>
              <w14:schemeClr w14:val="tx1"/>
            </w14:solidFill>
          </w14:textFill>
        </w:rPr>
        <w:t>化治理</w:t>
      </w:r>
      <w:r>
        <w:rPr>
          <w:rFonts w:hint="eastAsia"/>
          <w:b/>
          <w:color w:val="000000" w:themeColor="text1"/>
          <w14:textFill>
            <w14:solidFill>
              <w14:schemeClr w14:val="tx1"/>
            </w14:solidFill>
          </w14:textFill>
        </w:rPr>
        <w:t>。</w:t>
      </w:r>
      <w:r>
        <w:rPr>
          <w:rFonts w:hint="eastAsia"/>
          <w:bCs/>
          <w:color w:val="000000" w:themeColor="text1"/>
          <w14:textFill>
            <w14:solidFill>
              <w14:schemeClr w14:val="tx1"/>
            </w14:solidFill>
          </w14:textFill>
        </w:rPr>
        <w:t>建设智慧环保一体化综合管理平台，通过对“三线一单”成</w:t>
      </w:r>
      <w:r>
        <w:rPr>
          <w:rFonts w:hint="eastAsia"/>
          <w:color w:val="000000" w:themeColor="text1"/>
          <w14:textFill>
            <w14:solidFill>
              <w14:schemeClr w14:val="tx1"/>
            </w14:solidFill>
          </w14:textFill>
        </w:rPr>
        <w:t>果落图固化和动态管理，将过去分散的要求集成起来，落实到具体的环境管控单元上，构建“生态环境一张图”，实现全市环境信息资源的精细化管理。围绕城市生态情况，建立调度、执行、反馈一体化闭环协同应用，确保全市“蓝天”、“碧水”、“净土”、“清废”行动有效落实，打造工业固废全生命周期“一件事”，全力建设“浙中花园城市”。</w:t>
      </w:r>
    </w:p>
    <w:p>
      <w:pPr>
        <w:pStyle w:val="4"/>
        <w:numPr>
          <w:ilvl w:val="0"/>
          <w:numId w:val="5"/>
        </w:numPr>
        <w:ind w:hanging="423"/>
        <w:rPr>
          <w:rFonts w:ascii="楷体" w:hAnsi="楷体"/>
          <w:b w:val="0"/>
          <w:color w:val="000000" w:themeColor="text1"/>
          <w14:textFill>
            <w14:solidFill>
              <w14:schemeClr w14:val="tx1"/>
            </w14:solidFill>
          </w14:textFill>
        </w:rPr>
      </w:pPr>
      <w:bookmarkStart w:id="24" w:name="_Toc84600837"/>
      <w:r>
        <w:rPr>
          <w:rFonts w:hint="eastAsia" w:ascii="楷体" w:hAnsi="楷体"/>
          <w:b w:val="0"/>
          <w:color w:val="000000" w:themeColor="text1"/>
          <w14:textFill>
            <w14:solidFill>
              <w14:schemeClr w14:val="tx1"/>
            </w14:solidFill>
          </w14:textFill>
        </w:rPr>
        <w:t>实现精密智控的应急治理</w:t>
      </w:r>
      <w:bookmarkEnd w:id="24"/>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打造常态化疫情防控应用。</w:t>
      </w:r>
      <w:r>
        <w:rPr>
          <w:rFonts w:hint="eastAsia"/>
          <w:color w:val="000000" w:themeColor="text1"/>
          <w14:textFill>
            <w14:solidFill>
              <w14:schemeClr w14:val="tx1"/>
            </w14:solidFill>
          </w14:textFill>
        </w:rPr>
        <w:t>推动疫情防控静态封闭管理转向动态过程管理，利用大数据、</w:t>
      </w:r>
      <w:r>
        <w:rPr>
          <w:rFonts w:hint="eastAsia" w:ascii="Times New Roman" w:hAnsi="Times New Roman" w:cs="Times New Roman"/>
          <w:color w:val="000000" w:themeColor="text1"/>
          <w14:textFill>
            <w14:solidFill>
              <w14:schemeClr w14:val="tx1"/>
            </w14:solidFill>
          </w14:textFill>
        </w:rPr>
        <w:t>5G、</w:t>
      </w:r>
      <w:r>
        <w:rPr>
          <w:rFonts w:hint="eastAsia"/>
          <w:color w:val="000000" w:themeColor="text1"/>
          <w14:textFill>
            <w14:solidFill>
              <w14:schemeClr w14:val="tx1"/>
            </w14:solidFill>
          </w14:textFill>
        </w:rPr>
        <w:t>人工智能等技术，依托多种信息平台，全面实施数据动态管理、数据信息实时共享，提高信息的准确性和及时性，加强对重点人员的动态管理和重点场所有效管控，构建主动发现、快速响应、有效处置的执行链，推动科学防控和科学决策。</w:t>
      </w:r>
    </w:p>
    <w:p>
      <w:pPr>
        <w:pStyle w:val="33"/>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打造消防安全风险防控一体化平台</w:t>
      </w:r>
      <w:r>
        <w:rPr>
          <w:rFonts w:hint="eastAsia"/>
          <w:color w:val="000000" w:themeColor="text1"/>
          <w14:textFill>
            <w14:solidFill>
              <w14:schemeClr w14:val="tx1"/>
            </w14:solidFill>
          </w14:textFill>
        </w:rPr>
        <w:t>。围绕火灾防控、应急救援灾害精准高效处置，实时汇集消防智能感知终端数据，城市用电、用水、用气等情况，建立火灾风险识别、监测预警等研判模型，完善消防实战指挥平台，丰富智能指挥研判模型，持续融合建设、公安、气象、自然资源、市场监管、交通等部门数据，为政府提供消防安全风险研判、重大突发事件评估决策、高效精准应急指挥、监管部门协同智治等应用。</w:t>
      </w:r>
    </w:p>
    <w:p>
      <w:pPr>
        <w:pStyle w:val="33"/>
        <w:ind w:firstLine="643"/>
        <w:rPr>
          <w:bCs/>
          <w:color w:val="000000" w:themeColor="text1"/>
          <w14:textFill>
            <w14:solidFill>
              <w14:schemeClr w14:val="tx1"/>
            </w14:solidFill>
          </w14:textFill>
        </w:rPr>
      </w:pPr>
      <w:r>
        <w:rPr>
          <w:rFonts w:hint="eastAsia"/>
          <w:b/>
          <w:color w:val="000000" w:themeColor="text1"/>
          <w14:textFill>
            <w14:solidFill>
              <w14:schemeClr w14:val="tx1"/>
            </w14:solidFill>
          </w14:textFill>
        </w:rPr>
        <w:t>打</w:t>
      </w:r>
      <w:r>
        <w:rPr>
          <w:b/>
          <w:color w:val="000000" w:themeColor="text1"/>
          <w14:textFill>
            <w14:solidFill>
              <w14:schemeClr w14:val="tx1"/>
            </w14:solidFill>
          </w14:textFill>
        </w:rPr>
        <w:t>造智</w:t>
      </w:r>
      <w:r>
        <w:rPr>
          <w:rFonts w:hint="eastAsia"/>
          <w:b/>
          <w:color w:val="000000" w:themeColor="text1"/>
          <w14:textFill>
            <w14:solidFill>
              <w14:schemeClr w14:val="tx1"/>
            </w14:solidFill>
          </w14:textFill>
        </w:rPr>
        <w:t>能</w:t>
      </w:r>
      <w:r>
        <w:rPr>
          <w:b/>
          <w:color w:val="000000" w:themeColor="text1"/>
          <w14:textFill>
            <w14:solidFill>
              <w14:schemeClr w14:val="tx1"/>
            </w14:solidFill>
          </w14:textFill>
        </w:rPr>
        <w:t>应急应用</w:t>
      </w:r>
      <w:r>
        <w:rPr>
          <w:rFonts w:hint="eastAsia"/>
          <w:b/>
          <w:color w:val="000000" w:themeColor="text1"/>
          <w14:textFill>
            <w14:solidFill>
              <w14:schemeClr w14:val="tx1"/>
            </w14:solidFill>
          </w14:textFill>
        </w:rPr>
        <w:t>。</w:t>
      </w:r>
      <w:r>
        <w:rPr>
          <w:rFonts w:hint="eastAsia"/>
          <w:color w:val="000000" w:themeColor="text1"/>
          <w14:textFill>
            <w14:solidFill>
              <w14:schemeClr w14:val="tx1"/>
            </w14:solidFill>
          </w14:textFill>
        </w:rPr>
        <w:t>健全智能化风险监测平台，建立完善的感知网络，通过高分、视频、监测设备等技术手段，实现对自然灾害和安全生产领域重大风险危险源监测全面覆盖；通过对自然资源、水利、消防、交通、气象等风险类信息进行归集、整合，实现“一图知风险”。建设城市综合应急指挥管理平台，通过汇聚应急、消防、公安、卫健、民政、交通等部门应急资源数据，着力打造“态势分析一图研判、应急资源一键调度、力量投送一码通行、救援现场一屏指挥” 的数字化协同工作场景，实现应急业务数字化改革纵深推进，开</w:t>
      </w:r>
      <w:r>
        <w:rPr>
          <w:rFonts w:hint="eastAsia"/>
          <w:bCs/>
          <w:color w:val="000000" w:themeColor="text1"/>
          <w14:textFill>
            <w14:solidFill>
              <w14:schemeClr w14:val="tx1"/>
            </w14:solidFill>
          </w14:textFill>
        </w:rPr>
        <w:t>创应急救援处置协同新格局。</w:t>
      </w:r>
    </w:p>
    <w:p>
      <w:pPr>
        <w:pStyle w:val="33"/>
        <w:ind w:firstLine="643"/>
        <w:rPr>
          <w:bCs/>
          <w:color w:val="000000" w:themeColor="text1"/>
          <w14:textFill>
            <w14:solidFill>
              <w14:schemeClr w14:val="tx1"/>
            </w14:solidFill>
          </w14:textFill>
        </w:rPr>
      </w:pPr>
      <w:r>
        <w:rPr>
          <w:rFonts w:hint="eastAsia"/>
          <w:b/>
          <w:color w:val="000000" w:themeColor="text1"/>
          <w14:textFill>
            <w14:solidFill>
              <w14:schemeClr w14:val="tx1"/>
            </w14:solidFill>
          </w14:textFill>
        </w:rPr>
        <w:t>构建“金华自然灾害应急大脑”。</w:t>
      </w:r>
      <w:r>
        <w:rPr>
          <w:rFonts w:hint="eastAsia"/>
          <w:bCs/>
          <w:color w:val="000000" w:themeColor="text1"/>
          <w14:textFill>
            <w14:solidFill>
              <w14:schemeClr w14:val="tx1"/>
            </w14:solidFill>
          </w14:textFill>
        </w:rPr>
        <w:t>持续迭代升级“金华防汛大脑”，开展基于物联网、大数据、人工智能、区块链及卫星遥感解译等关键技术，建设自然灾害风险目标监测感知网络和预测预警机制建设，构建安全物联网平台，实现设备、数据、算法、应用四大模块及高性能数据库统筹管控，建成集防汛防台、干旱、低温雨雪冰冻、地质灾害、地震等自然灾害风险识别、风险研判、预测预警、风险管控、应急救援、减灾救灾、灾后重建等功能目标于一体的综合性风险防控和应急救援精密智控多业务应用协同平台。</w:t>
      </w:r>
    </w:p>
    <w:p>
      <w:pPr>
        <w:pStyle w:val="33"/>
        <w:ind w:firstLine="643"/>
        <w:rPr>
          <w:b/>
          <w:color w:val="000000" w:themeColor="text1"/>
          <w14:textFill>
            <w14:solidFill>
              <w14:schemeClr w14:val="tx1"/>
            </w14:solidFill>
          </w14:textFill>
        </w:rPr>
      </w:pPr>
      <w:r>
        <w:rPr>
          <w:rFonts w:hint="eastAsia"/>
          <w:b/>
          <w:color w:val="000000" w:themeColor="text1"/>
          <w14:textFill>
            <w14:solidFill>
              <w14:schemeClr w14:val="tx1"/>
            </w14:solidFill>
          </w14:textFill>
        </w:rPr>
        <w:t>开展重点工程智能</w:t>
      </w:r>
      <w:r>
        <w:rPr>
          <w:b/>
          <w:color w:val="000000" w:themeColor="text1"/>
          <w14:textFill>
            <w14:solidFill>
              <w14:schemeClr w14:val="tx1"/>
            </w14:solidFill>
          </w14:textFill>
        </w:rPr>
        <w:t>化</w:t>
      </w:r>
      <w:r>
        <w:rPr>
          <w:rFonts w:hint="eastAsia"/>
          <w:b/>
          <w:color w:val="000000" w:themeColor="text1"/>
          <w14:textFill>
            <w14:solidFill>
              <w14:schemeClr w14:val="tx1"/>
            </w14:solidFill>
          </w14:textFill>
        </w:rPr>
        <w:t>综合管理。</w:t>
      </w:r>
      <w:r>
        <w:rPr>
          <w:rFonts w:hint="eastAsia"/>
          <w:bCs/>
          <w:color w:val="000000" w:themeColor="text1"/>
          <w14:textFill>
            <w14:solidFill>
              <w14:schemeClr w14:val="tx1"/>
            </w14:solidFill>
          </w14:textFill>
        </w:rPr>
        <w:t>构建重点工程综合监管平台，针对全市重点工程建设，利用高分卫星遥感技术和地面传感器，实现全市重点工程分布、施工状态、工程进度、现场情况、施工安全保护区、资金使用等信息掌握，形成“金华市重点工程一张图”，高效支撑重点工程管理和调度。</w:t>
      </w:r>
    </w:p>
    <w:p>
      <w:pPr>
        <w:pStyle w:val="3"/>
        <w:numPr>
          <w:ilvl w:val="0"/>
          <w:numId w:val="2"/>
        </w:numPr>
        <w:spacing w:before="0" w:after="0"/>
        <w:ind w:firstLineChars="0"/>
        <w:rPr>
          <w:color w:val="000000" w:themeColor="text1"/>
          <w14:textFill>
            <w14:solidFill>
              <w14:schemeClr w14:val="tx1"/>
            </w14:solidFill>
          </w14:textFill>
        </w:rPr>
      </w:pPr>
      <w:bookmarkStart w:id="25" w:name="_Toc84600838"/>
      <w:r>
        <w:rPr>
          <w:rFonts w:hint="eastAsia"/>
          <w:color w:val="000000" w:themeColor="text1"/>
          <w14:textFill>
            <w14:solidFill>
              <w14:schemeClr w14:val="tx1"/>
            </w14:solidFill>
          </w14:textFill>
        </w:rPr>
        <w:t>创新综合高效的执法监管体系</w:t>
      </w:r>
      <w:bookmarkEnd w:id="25"/>
    </w:p>
    <w:p>
      <w:pPr>
        <w:pStyle w:val="4"/>
        <w:numPr>
          <w:ilvl w:val="0"/>
          <w:numId w:val="6"/>
        </w:numPr>
        <w:rPr>
          <w:rFonts w:ascii="楷体" w:hAnsi="楷体"/>
          <w:b w:val="0"/>
          <w:color w:val="000000" w:themeColor="text1"/>
          <w14:textFill>
            <w14:solidFill>
              <w14:schemeClr w14:val="tx1"/>
            </w14:solidFill>
          </w14:textFill>
        </w:rPr>
      </w:pPr>
      <w:bookmarkStart w:id="26" w:name="_Toc84600839"/>
      <w:r>
        <w:rPr>
          <w:rFonts w:hint="eastAsia" w:ascii="楷体" w:hAnsi="楷体"/>
          <w:b w:val="0"/>
          <w:color w:val="000000" w:themeColor="text1"/>
          <w14:textFill>
            <w14:solidFill>
              <w14:schemeClr w14:val="tx1"/>
            </w14:solidFill>
          </w14:textFill>
        </w:rPr>
        <w:t>强</w:t>
      </w:r>
      <w:r>
        <w:rPr>
          <w:rFonts w:ascii="楷体" w:hAnsi="楷体"/>
          <w:b w:val="0"/>
          <w:color w:val="000000" w:themeColor="text1"/>
          <w14:textFill>
            <w14:solidFill>
              <w14:schemeClr w14:val="tx1"/>
            </w14:solidFill>
          </w14:textFill>
        </w:rPr>
        <w:t>化综</w:t>
      </w:r>
      <w:r>
        <w:rPr>
          <w:rFonts w:hint="eastAsia" w:ascii="楷体" w:hAnsi="楷体"/>
          <w:b w:val="0"/>
          <w:color w:val="000000" w:themeColor="text1"/>
          <w14:textFill>
            <w14:solidFill>
              <w14:schemeClr w14:val="tx1"/>
            </w14:solidFill>
          </w14:textFill>
        </w:rPr>
        <w:t>合执法管</w:t>
      </w:r>
      <w:r>
        <w:rPr>
          <w:rFonts w:ascii="楷体" w:hAnsi="楷体"/>
          <w:b w:val="0"/>
          <w:color w:val="000000" w:themeColor="text1"/>
          <w14:textFill>
            <w14:solidFill>
              <w14:schemeClr w14:val="tx1"/>
            </w14:solidFill>
          </w14:textFill>
        </w:rPr>
        <w:t>理</w:t>
      </w:r>
      <w:bookmarkEnd w:id="26"/>
    </w:p>
    <w:p>
      <w:pPr>
        <w:pStyle w:val="33"/>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以数字化应用赋能全市“大综合一体化”行政执法改革</w:t>
      </w:r>
      <w:r>
        <w:rPr>
          <w:rFonts w:hint="eastAsia"/>
          <w:b/>
          <w:color w:val="000000" w:themeColor="text1"/>
          <w14:textFill>
            <w14:solidFill>
              <w14:schemeClr w14:val="tx1"/>
            </w14:solidFill>
          </w14:textFill>
        </w:rPr>
        <w:t>，</w:t>
      </w:r>
      <w:r>
        <w:rPr>
          <w:rFonts w:hint="eastAsia"/>
          <w:color w:val="000000" w:themeColor="text1"/>
          <w14:textFill>
            <w14:solidFill>
              <w14:schemeClr w14:val="tx1"/>
            </w14:solidFill>
          </w14:textFill>
        </w:rPr>
        <w:t>深化“互联</w:t>
      </w:r>
      <w:r>
        <w:rPr>
          <w:rFonts w:hint="eastAsia" w:ascii="Times New Roman" w:hAnsi="Times New Roman" w:cs="Times New Roman"/>
          <w:color w:val="000000" w:themeColor="text1"/>
          <w14:textFill>
            <w14:solidFill>
              <w14:schemeClr w14:val="tx1"/>
            </w14:solidFill>
          </w14:textFill>
        </w:rPr>
        <w:t>网+监</w:t>
      </w:r>
      <w:r>
        <w:rPr>
          <w:rFonts w:hint="eastAsia"/>
          <w:color w:val="000000" w:themeColor="text1"/>
          <w14:textFill>
            <w14:solidFill>
              <w14:schemeClr w14:val="tx1"/>
            </w14:solidFill>
          </w14:textFill>
        </w:rPr>
        <w:t>管”改革，加强行政检查、行政处罚、行政强制等系统集</w:t>
      </w:r>
      <w:r>
        <w:rPr>
          <w:color w:val="000000" w:themeColor="text1"/>
          <w14:textFill>
            <w14:solidFill>
              <w14:schemeClr w14:val="tx1"/>
            </w14:solidFill>
          </w14:textFill>
        </w:rPr>
        <w:t>成</w:t>
      </w:r>
      <w:r>
        <w:rPr>
          <w:rFonts w:hint="eastAsia"/>
          <w:color w:val="000000" w:themeColor="text1"/>
          <w14:textFill>
            <w14:solidFill>
              <w14:schemeClr w14:val="tx1"/>
            </w14:solidFill>
          </w14:textFill>
        </w:rPr>
        <w:t>与数据共享，实现监管业务数据全流程闭环管理、行政执法与刑事司法联动。建设事中事后监管平台，推进跨部门、跨区域执法联动响应和协作，创新部门联合执法新模式，推进部门“进一次门，查多项事”的集约执法和“一处发现、多项联动”的联动式监管，构建一个“联得通、呼得应、看得见、调得动”的综合指挥联动系统。</w:t>
      </w:r>
    </w:p>
    <w:p>
      <w:pPr>
        <w:pStyle w:val="4"/>
        <w:numPr>
          <w:ilvl w:val="0"/>
          <w:numId w:val="6"/>
        </w:numPr>
        <w:rPr>
          <w:rFonts w:ascii="楷体" w:hAnsi="楷体"/>
          <w:b w:val="0"/>
          <w:color w:val="000000" w:themeColor="text1"/>
          <w14:textFill>
            <w14:solidFill>
              <w14:schemeClr w14:val="tx1"/>
            </w14:solidFill>
          </w14:textFill>
        </w:rPr>
      </w:pPr>
      <w:bookmarkStart w:id="27" w:name="_Toc84600840"/>
      <w:r>
        <w:rPr>
          <w:rFonts w:hint="eastAsia" w:ascii="楷体" w:hAnsi="楷体"/>
          <w:b w:val="0"/>
          <w:color w:val="000000" w:themeColor="text1"/>
          <w14:textFill>
            <w14:solidFill>
              <w14:schemeClr w14:val="tx1"/>
            </w14:solidFill>
          </w14:textFill>
        </w:rPr>
        <w:t>推进信用监管建设</w:t>
      </w:r>
      <w:bookmarkEnd w:id="27"/>
    </w:p>
    <w:p>
      <w:pPr>
        <w:pStyle w:val="33"/>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依托省信用监管数据及金华信用数据，将市场主体基本信息、执法监管和检查强制信息、失信联合惩戒信息等整合共享，健全金华信用评价体系。建立信用监测、预警、联合监管、奖惩和评级机制，实现事前、事中、事后全环节、全领域、全生命周期的信用监管。拓展“信</w:t>
      </w:r>
      <w:r>
        <w:rPr>
          <w:rFonts w:hint="eastAsia" w:ascii="Times New Roman" w:hAnsi="Times New Roman" w:cs="Times New Roman"/>
          <w:color w:val="000000" w:themeColor="text1"/>
          <w14:textFill>
            <w14:solidFill>
              <w14:schemeClr w14:val="tx1"/>
            </w14:solidFill>
          </w14:textFill>
        </w:rPr>
        <w:t>用</w:t>
      </w:r>
      <w:r>
        <w:rPr>
          <w:rFonts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场景创新应用，提升企业信用信息服务，基于全省统一的电子证照库，结合证明事项和涉企经营许可事项告知承诺，实现信用监管全覆盖。开展信用创新“一县一场景”示范应用，加快推进“信义保”“信义贸”等应用建设，让“信义和美”成为金华城市鲜明标识。建设“信义金”特色场景应用，将省统一自然人公共信用评价纳入地方文明信用评价，并构建全市市民虚拟“信义银行”。</w:t>
      </w:r>
    </w:p>
    <w:p>
      <w:pPr>
        <w:pStyle w:val="4"/>
        <w:numPr>
          <w:ilvl w:val="0"/>
          <w:numId w:val="6"/>
        </w:numPr>
        <w:rPr>
          <w:rFonts w:ascii="楷体" w:hAnsi="楷体"/>
          <w:b w:val="0"/>
          <w:color w:val="000000" w:themeColor="text1"/>
          <w14:textFill>
            <w14:solidFill>
              <w14:schemeClr w14:val="tx1"/>
            </w14:solidFill>
          </w14:textFill>
        </w:rPr>
      </w:pPr>
      <w:bookmarkStart w:id="28" w:name="_Toc84600841"/>
      <w:r>
        <w:rPr>
          <w:rFonts w:hint="eastAsia" w:ascii="楷体" w:hAnsi="楷体"/>
          <w:b w:val="0"/>
          <w:color w:val="000000" w:themeColor="text1"/>
          <w14:textFill>
            <w14:solidFill>
              <w14:schemeClr w14:val="tx1"/>
            </w14:solidFill>
          </w14:textFill>
        </w:rPr>
        <w:t>提升重点领域监管能力</w:t>
      </w:r>
      <w:bookmarkEnd w:id="28"/>
    </w:p>
    <w:p>
      <w:pPr>
        <w:pStyle w:val="33"/>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对食品、药品、医疗器械、特种设备等重点领域，利用区块链等技术，建立健全以产品编码管理为手段的追溯机制，形成来源可查、去向可追、责任可究的信息链条，强化全过程质量管理和安全生产监管执法。推广危化品智能化监管应用，推动“互联网</w:t>
      </w:r>
      <w:r>
        <w:rPr>
          <w:rFonts w:hint="eastAsia" w:ascii="Times New Roman" w:hAnsi="Times New Roman" w:cs="Times New Roman"/>
          <w:color w:val="000000" w:themeColor="text1"/>
          <w14:textFill>
            <w14:solidFill>
              <w14:schemeClr w14:val="tx1"/>
            </w14:solidFill>
          </w14:textFill>
        </w:rPr>
        <w:t>+版</w:t>
      </w:r>
      <w:r>
        <w:rPr>
          <w:rFonts w:hint="eastAsia"/>
          <w:color w:val="000000" w:themeColor="text1"/>
          <w14:textFill>
            <w14:solidFill>
              <w14:schemeClr w14:val="tx1"/>
            </w14:solidFill>
          </w14:textFill>
        </w:rPr>
        <w:t>权监管”，不断扩展区块链技术在横店影视行业版权保护应用。推进“三新”经济创新监管，完善风险预警和分析评价，充分利用大数据、云计算等</w:t>
      </w:r>
      <w:r>
        <w:rPr>
          <w:color w:val="000000" w:themeColor="text1"/>
          <w14:textFill>
            <w14:solidFill>
              <w14:schemeClr w14:val="tx1"/>
            </w14:solidFill>
          </w14:textFill>
        </w:rPr>
        <w:t>技术</w:t>
      </w:r>
      <w:r>
        <w:rPr>
          <w:rFonts w:hint="eastAsia"/>
          <w:color w:val="000000" w:themeColor="text1"/>
          <w14:textFill>
            <w14:solidFill>
              <w14:schemeClr w14:val="tx1"/>
            </w14:solidFill>
          </w14:textFill>
        </w:rPr>
        <w:t>，提高智能监管水平，强化风险处置决策机制，提高对新兴经济领域潜在风险敏感度和突发情况快速处置能力。推进医保监测应用建设，通过“城市大脑”中枢交互，整合利用市医保局各类医院就医数据资源，结合医疗行业管理规范，利用大数据监测预警，保障医保基金规范使用。</w:t>
      </w:r>
    </w:p>
    <w:p>
      <w:pPr>
        <w:pStyle w:val="3"/>
        <w:numPr>
          <w:ilvl w:val="0"/>
          <w:numId w:val="2"/>
        </w:numPr>
        <w:spacing w:before="0" w:after="0"/>
        <w:ind w:firstLineChars="0"/>
        <w:rPr>
          <w:color w:val="000000" w:themeColor="text1"/>
          <w14:textFill>
            <w14:solidFill>
              <w14:schemeClr w14:val="tx1"/>
            </w14:solidFill>
          </w14:textFill>
        </w:rPr>
      </w:pPr>
      <w:bookmarkStart w:id="29" w:name="_Toc84600842"/>
      <w:r>
        <w:rPr>
          <w:rFonts w:hint="eastAsia"/>
          <w:color w:val="000000" w:themeColor="text1"/>
          <w14:textFill>
            <w14:solidFill>
              <w14:schemeClr w14:val="tx1"/>
            </w14:solidFill>
          </w14:textFill>
        </w:rPr>
        <w:t>建设安全可靠的数据支撑体系</w:t>
      </w:r>
      <w:bookmarkEnd w:id="29"/>
    </w:p>
    <w:p>
      <w:pPr>
        <w:pStyle w:val="4"/>
        <w:numPr>
          <w:ilvl w:val="0"/>
          <w:numId w:val="7"/>
        </w:numPr>
        <w:ind w:hanging="423"/>
        <w:rPr>
          <w:rFonts w:ascii="楷体" w:hAnsi="楷体"/>
          <w:b w:val="0"/>
          <w:color w:val="000000" w:themeColor="text1"/>
          <w14:textFill>
            <w14:solidFill>
              <w14:schemeClr w14:val="tx1"/>
            </w14:solidFill>
          </w14:textFill>
        </w:rPr>
      </w:pPr>
      <w:bookmarkStart w:id="30" w:name="_Toc84600843"/>
      <w:r>
        <w:rPr>
          <w:rFonts w:hint="eastAsia" w:ascii="楷体" w:hAnsi="楷体"/>
          <w:b w:val="0"/>
          <w:color w:val="000000" w:themeColor="text1"/>
          <w14:textFill>
            <w14:solidFill>
              <w14:schemeClr w14:val="tx1"/>
            </w14:solidFill>
          </w14:textFill>
        </w:rPr>
        <w:t>加强</w:t>
      </w:r>
      <w:r>
        <w:rPr>
          <w:rFonts w:ascii="楷体" w:hAnsi="楷体"/>
          <w:b w:val="0"/>
          <w:color w:val="000000" w:themeColor="text1"/>
          <w14:textFill>
            <w14:solidFill>
              <w14:schemeClr w14:val="tx1"/>
            </w14:solidFill>
          </w14:textFill>
        </w:rPr>
        <w:t>数字</w:t>
      </w:r>
      <w:r>
        <w:rPr>
          <w:rFonts w:hint="eastAsia" w:ascii="楷体" w:hAnsi="楷体"/>
          <w:b w:val="0"/>
          <w:color w:val="000000" w:themeColor="text1"/>
          <w14:textFill>
            <w14:solidFill>
              <w14:schemeClr w14:val="tx1"/>
            </w14:solidFill>
          </w14:textFill>
        </w:rPr>
        <w:t>基础设施建设</w:t>
      </w:r>
      <w:bookmarkEnd w:id="30"/>
    </w:p>
    <w:p>
      <w:pPr>
        <w:pStyle w:val="3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打造</w:t>
      </w:r>
      <w:r>
        <w:rPr>
          <w:color w:val="000000" w:themeColor="text1"/>
          <w14:textFill>
            <w14:solidFill>
              <w14:schemeClr w14:val="tx1"/>
            </w14:solidFill>
          </w14:textFill>
        </w:rPr>
        <w:t>云上金华，</w:t>
      </w:r>
      <w:r>
        <w:rPr>
          <w:rFonts w:hint="eastAsia"/>
          <w:color w:val="000000" w:themeColor="text1"/>
          <w14:textFill>
            <w14:solidFill>
              <w14:schemeClr w14:val="tx1"/>
            </w14:solidFill>
          </w14:textFill>
        </w:rPr>
        <w:t>形成全市完备的“政务一朵云”，完善市级政务云平台架构，解决异构云平台之间的互通和融合管理，深入推动市级部</w:t>
      </w:r>
      <w:r>
        <w:rPr>
          <w:rFonts w:hint="eastAsia" w:ascii="Times New Roman" w:hAnsi="Times New Roman" w:cs="Times New Roman"/>
          <w:color w:val="000000" w:themeColor="text1"/>
          <w14:textFill>
            <w14:solidFill>
              <w14:schemeClr w14:val="tx1"/>
            </w14:solidFill>
          </w14:textFill>
        </w:rPr>
        <w:t>门</w:t>
      </w:r>
      <w:r>
        <w:rPr>
          <w:rFonts w:hint="eastAsia"/>
          <w:color w:val="000000" w:themeColor="text1"/>
          <w14:textFill>
            <w14:solidFill>
              <w14:schemeClr w14:val="tx1"/>
            </w14:solidFill>
          </w14:textFill>
        </w:rPr>
        <w:t>业务系统上云，积极推进各县（市、区）应用系统向市政务云平台迁移。开展电子政务网络升级改造工作，保障重点区域、重要场所、重要单位的网络稳定可靠。拓展基于电子政务视联网的统一视频会议系统应用，提升政府工作协同化水平。加强对物联感知网络建设，面向桥梁建筑、地下管廊、市政交通、公共空间、生态环境等领域规模部署各类传感器，全面提升感知资源的布局力度和灵敏感知能力，实现全市运行状态智能识别和全方位立体化感知。</w:t>
      </w:r>
    </w:p>
    <w:p>
      <w:pPr>
        <w:pStyle w:val="4"/>
        <w:numPr>
          <w:ilvl w:val="0"/>
          <w:numId w:val="7"/>
        </w:numPr>
        <w:ind w:hanging="423"/>
        <w:rPr>
          <w:rFonts w:ascii="楷体" w:hAnsi="楷体"/>
          <w:b w:val="0"/>
          <w:color w:val="000000" w:themeColor="text1"/>
          <w14:textFill>
            <w14:solidFill>
              <w14:schemeClr w14:val="tx1"/>
            </w14:solidFill>
          </w14:textFill>
        </w:rPr>
      </w:pPr>
      <w:bookmarkStart w:id="31" w:name="_Toc84600844"/>
      <w:r>
        <w:rPr>
          <w:rFonts w:ascii="楷体" w:hAnsi="楷体"/>
          <w:b w:val="0"/>
          <w:color w:val="000000" w:themeColor="text1"/>
          <w14:textFill>
            <w14:solidFill>
              <w14:schemeClr w14:val="tx1"/>
            </w14:solidFill>
          </w14:textFill>
        </w:rPr>
        <w:t>探索构建数字孪生城市</w:t>
      </w:r>
      <w:bookmarkEnd w:id="31"/>
    </w:p>
    <w:p>
      <w:pPr>
        <w:pStyle w:val="32"/>
        <w:ind w:firstLine="640"/>
      </w:pPr>
      <w:r>
        <w:rPr>
          <w:rFonts w:hint="eastAsia"/>
        </w:rPr>
        <w:t>推进多跑道多领域数字孪生建设，通过人、车、地、事、物的时空动态信息收集、分析和反映，实现现实世界运行在数字世界的实时动态呈现，为</w:t>
      </w:r>
      <w:r>
        <w:rPr>
          <w:rFonts w:hint="eastAsia"/>
          <w:color w:val="000000" w:themeColor="text1"/>
          <w14:textFill>
            <w14:solidFill>
              <w14:schemeClr w14:val="tx1"/>
            </w14:solidFill>
          </w14:textFill>
        </w:rPr>
        <w:t>经济、政治、文化、社会、生态文明建设全过程各方面</w:t>
      </w:r>
      <w:r>
        <w:rPr>
          <w:rFonts w:hint="eastAsia"/>
        </w:rPr>
        <w:t>提供时空资源支撑。加快确立城市信息模型标准，形成多源异构数据融合处理标准规范，建立城市级数据实时接入服务标准。从局部小范围切入，逐步拓宽数字孪生建设范畴，从数字基础设施建设条件相对完善的社区和产业园区开始探索，逐渐向城市全域、城乡一体化的广泛数字孪生过渡。加强新基建与数字孪生城市同步规划和能力提升，提升虚实交互的实时性，完善数字孪生城市产业生态，深化数字孪生城市应用。建成全市统一的二、三维一体化地理信息平台，实现城市全要素数字化和虚拟化、城市全状态实时化和可视化、城市管理决策协同化和智能化。</w:t>
      </w:r>
    </w:p>
    <w:p>
      <w:pPr>
        <w:pStyle w:val="4"/>
        <w:numPr>
          <w:ilvl w:val="0"/>
          <w:numId w:val="7"/>
        </w:numPr>
        <w:ind w:hanging="423"/>
        <w:rPr>
          <w:rFonts w:ascii="楷体" w:hAnsi="楷体"/>
          <w:b w:val="0"/>
          <w:color w:val="000000" w:themeColor="text1"/>
          <w14:textFill>
            <w14:solidFill>
              <w14:schemeClr w14:val="tx1"/>
            </w14:solidFill>
          </w14:textFill>
        </w:rPr>
      </w:pPr>
      <w:bookmarkStart w:id="32" w:name="_Toc84600845"/>
      <w:r>
        <w:rPr>
          <w:rFonts w:hint="eastAsia" w:ascii="楷体" w:hAnsi="楷体"/>
          <w:b w:val="0"/>
          <w:color w:val="000000" w:themeColor="text1"/>
          <w14:textFill>
            <w14:solidFill>
              <w14:schemeClr w14:val="tx1"/>
            </w14:solidFill>
          </w14:textFill>
        </w:rPr>
        <w:t>建设公共数据平台</w:t>
      </w:r>
      <w:bookmarkEnd w:id="32"/>
    </w:p>
    <w:p>
      <w:pPr>
        <w:pStyle w:val="32"/>
        <w:ind w:firstLine="640"/>
        <w:rPr>
          <w:color w:val="000000" w:themeColor="text1"/>
          <w14:textFill>
            <w14:solidFill>
              <w14:schemeClr w14:val="tx1"/>
            </w14:solidFill>
          </w14:textFill>
        </w:rPr>
      </w:pPr>
      <w:r>
        <w:rPr>
          <w:rFonts w:hint="eastAsia" w:ascii="楷体" w:hAnsi="楷体"/>
          <w:color w:val="000000" w:themeColor="text1"/>
          <w14:textFill>
            <w14:solidFill>
              <w14:schemeClr w14:val="tx1"/>
            </w14:solidFill>
          </w14:textFill>
        </w:rPr>
        <w:t>建设一体化智能化公共数据平台，持续迭代一体化政务数字资源系统</w:t>
      </w:r>
      <w:r>
        <w:rPr>
          <w:rFonts w:ascii="Times New Roman" w:hAnsi="Times New Roman" w:cs="Times New Roman"/>
          <w:color w:val="000000" w:themeColor="text1"/>
          <w14:textFill>
            <w14:solidFill>
              <w14:schemeClr w14:val="tx1"/>
            </w14:solidFill>
          </w14:textFill>
        </w:rPr>
        <w:t>（IRS），将市、县（市、区）两级以及各部门单位的系统、数据、组件等相对分散的数字资源综合集成为一个有机整体，</w:t>
      </w:r>
      <w:r>
        <w:rPr>
          <w:rFonts w:ascii="Times New Roman" w:hAnsi="Times New Roman" w:cs="Times New Roman"/>
          <w:szCs w:val="32"/>
        </w:rPr>
        <w:t>实现数据资源的一本账管理、一站式浏览、一揽子申请、一体化生产、一平台调度、一张网管控，</w:t>
      </w:r>
      <w:r>
        <w:rPr>
          <w:rFonts w:ascii="Times New Roman" w:hAnsi="Times New Roman" w:cs="Times New Roman"/>
          <w:color w:val="000000" w:themeColor="text1"/>
          <w14:textFill>
            <w14:solidFill>
              <w14:schemeClr w14:val="tx1"/>
            </w14:solidFill>
          </w14:textFill>
        </w:rPr>
        <w:t>为各地各部门提供统一的数字资源</w:t>
      </w:r>
      <w:r>
        <w:rPr>
          <w:rFonts w:hint="eastAsia"/>
          <w:color w:val="000000" w:themeColor="text1"/>
          <w14:textFill>
            <w14:solidFill>
              <w14:schemeClr w14:val="tx1"/>
            </w14:solidFill>
          </w14:textFill>
        </w:rPr>
        <w:t>申请管理入口，与省平台做好对接，实现政府数据资源、社会数据资源的互联互通，保障城市业务信息即时在线、数据实时流动，实现省市县三级联动。</w:t>
      </w:r>
      <w:r>
        <w:rPr>
          <w:rFonts w:hint="eastAsia"/>
          <w:color w:val="000000" w:themeColor="text1"/>
          <w:szCs w:val="32"/>
          <w14:textFill>
            <w14:solidFill>
              <w14:schemeClr w14:val="tx1"/>
            </w14:solidFill>
          </w14:textFill>
        </w:rPr>
        <w:t>依托全省统一的数字化综合集成工具，强化跨领域、跨业务、跨层级的一体化应用汇聚管理与协同支撑，</w:t>
      </w:r>
      <w:r>
        <w:rPr>
          <w:rFonts w:hint="eastAsia"/>
          <w:color w:val="000000" w:themeColor="text1"/>
          <w14:textFill>
            <w14:solidFill>
              <w14:schemeClr w14:val="tx1"/>
            </w14:solidFill>
          </w14:textFill>
        </w:rPr>
        <w:t>率先建成操作系统，部署综合集成工具，打造集约高效的应用集成体系。依托全省统一的一体化应用支撑体系，充分利用用户中心、交互中心、业务中心、信用中心、空间中心、智能中心等全省统一的智能化组件，提升数字化改革应用系统的智能化服务能力，实现全市数据资源一站操作、一网协调、一中心决策。推动一体化智能化公共数据平台与城市大脑建设的有机融合，让城市大脑成为平台的有机组成部分，成为市域治理相关应用及数据、智能组件的集合。</w:t>
      </w:r>
    </w:p>
    <w:p>
      <w:pPr>
        <w:pStyle w:val="4"/>
        <w:numPr>
          <w:ilvl w:val="0"/>
          <w:numId w:val="7"/>
        </w:numPr>
        <w:ind w:hanging="423"/>
        <w:rPr>
          <w:rFonts w:ascii="楷体" w:hAnsi="楷体"/>
          <w:b w:val="0"/>
          <w:color w:val="000000" w:themeColor="text1"/>
          <w14:textFill>
            <w14:solidFill>
              <w14:schemeClr w14:val="tx1"/>
            </w14:solidFill>
          </w14:textFill>
        </w:rPr>
      </w:pPr>
      <w:bookmarkStart w:id="33" w:name="_Toc84600846"/>
      <w:r>
        <w:rPr>
          <w:rFonts w:hint="eastAsia" w:ascii="楷体" w:hAnsi="楷体"/>
          <w:b w:val="0"/>
          <w:color w:val="000000" w:themeColor="text1"/>
          <w14:textFill>
            <w14:solidFill>
              <w14:schemeClr w14:val="tx1"/>
            </w14:solidFill>
          </w14:textFill>
        </w:rPr>
        <w:t>强化数据统一管理</w:t>
      </w:r>
      <w:bookmarkEnd w:id="33"/>
    </w:p>
    <w:p>
      <w:pPr>
        <w:pStyle w:val="32"/>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推进数据汇聚存储。</w:t>
      </w:r>
      <w:r>
        <w:rPr>
          <w:rFonts w:hint="eastAsia"/>
          <w:color w:val="000000" w:themeColor="text1"/>
          <w14:textFill>
            <w14:solidFill>
              <w14:schemeClr w14:val="tx1"/>
            </w14:solidFill>
          </w14:textFill>
        </w:rPr>
        <w:t>全面梳理政务服务事项和公共服务事项所产生的数据资源，编制政务数据资源目录，推进数据资产化管理。各级、各部门通过公共数据平台，推进基础数据资源向部门数据仓、大数据中心汇集，强化政务数据资源的统一管理、统一发布、统一汇聚、统一治理、统一使用。不断推进社会数据汇集，依托移动互联网和物联网，按照“需求导向”原则，归集汇聚社会数据，将多源城市数据整合成标准、稳定、高效的数据资源。持续推进“一数一源一标准”试点工作，高标准开展数据治理工作，为数据需求单位使用数据提供准确的指引，推动数据治理逐步从量的积累向质的提升转变。全面建成基础数据库、部门数据库和主题数据库，支撑多样化的政务服务应用场景。</w:t>
      </w:r>
    </w:p>
    <w:p>
      <w:pPr>
        <w:pStyle w:val="32"/>
        <w:ind w:firstLine="643"/>
        <w:rPr>
          <w:color w:val="000000" w:themeColor="text1"/>
          <w14:textFill>
            <w14:solidFill>
              <w14:schemeClr w14:val="tx1"/>
            </w14:solidFill>
          </w14:textFill>
        </w:rPr>
      </w:pPr>
      <w:r>
        <w:rPr>
          <w:rFonts w:hint="eastAsia" w:ascii="楷体" w:hAnsi="楷体"/>
          <w:b/>
          <w:color w:val="000000" w:themeColor="text1"/>
          <w14:textFill>
            <w14:solidFill>
              <w14:schemeClr w14:val="tx1"/>
            </w14:solidFill>
          </w14:textFill>
        </w:rPr>
        <w:t>推进数据资源开放共享。</w:t>
      </w:r>
      <w:r>
        <w:rPr>
          <w:rFonts w:hint="eastAsia"/>
          <w:color w:val="000000" w:themeColor="text1"/>
          <w14:textFill>
            <w14:solidFill>
              <w14:schemeClr w14:val="tx1"/>
            </w14:solidFill>
          </w14:textFill>
        </w:rPr>
        <w:t>制定数据共享办法，加大数据共享力度，编制共享责任清单。</w:t>
      </w:r>
      <w:r>
        <w:rPr>
          <w:rFonts w:hint="eastAsia"/>
          <w:color w:val="000000" w:themeColor="text1"/>
          <w:szCs w:val="24"/>
          <w14:textFill>
            <w14:solidFill>
              <w14:schemeClr w14:val="tx1"/>
            </w14:solidFill>
          </w14:textFill>
        </w:rPr>
        <w:t>健全完善数据闭环流转机制</w:t>
      </w:r>
      <w:r>
        <w:rPr>
          <w:rFonts w:hint="eastAsia"/>
          <w:color w:val="000000" w:themeColor="text1"/>
          <w14:textFill>
            <w14:solidFill>
              <w14:schemeClr w14:val="tx1"/>
            </w14:solidFill>
          </w14:textFill>
        </w:rPr>
        <w:t>，加强省市一体化智能化公共数据平台对接，协调垂直系统数据资源向基层回流，有效推动数据流通与按需使用，解决数据“纵强横弱”问题。建立统一的数据标准和各部门使用评价机制，确保数据提供方与数据使用方良性互动，提升共享数据质量和数据更新的及时性，开放审计查询推进权限，定期接受审计监督，保障数据完整准确。加快“数据高铁”应用，提升数据及时性、完整性和准确性</w:t>
      </w:r>
      <w:r>
        <w:rPr>
          <w:rFonts w:hint="eastAsia" w:ascii="楷体" w:hAnsi="楷体"/>
          <w:color w:val="000000" w:themeColor="text1"/>
          <w14:textFill>
            <w14:solidFill>
              <w14:schemeClr w14:val="tx1"/>
            </w14:solidFill>
          </w14:textFill>
        </w:rPr>
        <w:t>，实现市域治理各跑道各领域省数据回流与市域数据共享</w:t>
      </w:r>
      <w:r>
        <w:rPr>
          <w:rFonts w:hint="eastAsia"/>
          <w:color w:val="000000" w:themeColor="text1"/>
          <w14:textFill>
            <w14:solidFill>
              <w14:schemeClr w14:val="tx1"/>
            </w14:solidFill>
          </w14:textFill>
        </w:rPr>
        <w:t>。完善数据开放管理、审核和考核机制，明确主体责任，确保开放目录和数据及时更新，依法推进公共机构数据资源有序开放，融入全省一体化智能化公共数据平台。完善政务数据开放目录，厘清数据开放清单，在确保国家安全、企业和个人合法权益的前提下，优先满足与民生紧密相关、社会效益显著的数据开放应用需求。</w:t>
      </w:r>
    </w:p>
    <w:p>
      <w:pPr>
        <w:pStyle w:val="4"/>
        <w:numPr>
          <w:ilvl w:val="0"/>
          <w:numId w:val="7"/>
        </w:numPr>
        <w:ind w:hanging="423"/>
        <w:rPr>
          <w:rFonts w:ascii="楷体" w:hAnsi="楷体"/>
          <w:b w:val="0"/>
          <w:color w:val="000000" w:themeColor="text1"/>
          <w14:textFill>
            <w14:solidFill>
              <w14:schemeClr w14:val="tx1"/>
            </w14:solidFill>
          </w14:textFill>
        </w:rPr>
      </w:pPr>
      <w:bookmarkStart w:id="34" w:name="_Toc84600847"/>
      <w:r>
        <w:rPr>
          <w:rFonts w:hint="eastAsia" w:ascii="楷体" w:hAnsi="楷体"/>
          <w:b w:val="0"/>
          <w:color w:val="000000" w:themeColor="text1"/>
          <w14:textFill>
            <w14:solidFill>
              <w14:schemeClr w14:val="tx1"/>
            </w14:solidFill>
          </w14:textFill>
        </w:rPr>
        <w:t>建立标准规范体系</w:t>
      </w:r>
      <w:bookmarkEnd w:id="34"/>
    </w:p>
    <w:p>
      <w:pPr>
        <w:pStyle w:val="3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建立数字政府标准体系，制定数字政府建设总体标准、系统开发标准、数据共享标准、业务管理标准、技术应用标准、安全运维标准、系统集成标准等，以统一标准促进技术融合、业务融合、数据融合。</w:t>
      </w:r>
      <w:r>
        <w:rPr>
          <w:color w:val="000000" w:themeColor="text1"/>
          <w14:textFill>
            <w14:solidFill>
              <w14:schemeClr w14:val="tx1"/>
            </w14:solidFill>
          </w14:textFill>
        </w:rPr>
        <w:t>完善数字政府标准规范管理体系</w:t>
      </w:r>
      <w:r>
        <w:rPr>
          <w:rFonts w:hint="eastAsia"/>
          <w:color w:val="000000" w:themeColor="text1"/>
          <w14:textFill>
            <w14:solidFill>
              <w14:schemeClr w14:val="tx1"/>
            </w14:solidFill>
          </w14:textFill>
        </w:rPr>
        <w:t>，建立数字政府建设标准化工作机制，成立标准推进专班，制订标准框架，统筹协调处理标准制订、修订和发布工作，加快推进全市数字政府建设标准</w:t>
      </w:r>
      <w:r>
        <w:rPr>
          <w:color w:val="000000" w:themeColor="text1"/>
          <w14:textFill>
            <w14:solidFill>
              <w14:schemeClr w14:val="tx1"/>
            </w14:solidFill>
          </w14:textFill>
        </w:rPr>
        <w:t>化</w:t>
      </w:r>
      <w:r>
        <w:rPr>
          <w:rFonts w:hint="eastAsia"/>
          <w:color w:val="000000" w:themeColor="text1"/>
          <w14:textFill>
            <w14:solidFill>
              <w14:schemeClr w14:val="tx1"/>
            </w14:solidFill>
          </w14:textFill>
        </w:rPr>
        <w:t>工作。定期开展标准规范实施情况监督和实施效果评估，推动标准规范全面贯彻落实，为数字政府推广和迭代升级奠定基础。</w:t>
      </w:r>
    </w:p>
    <w:p>
      <w:pPr>
        <w:pStyle w:val="4"/>
        <w:numPr>
          <w:ilvl w:val="0"/>
          <w:numId w:val="7"/>
        </w:numPr>
        <w:ind w:hanging="423"/>
        <w:rPr>
          <w:rFonts w:ascii="楷体" w:hAnsi="楷体"/>
          <w:b w:val="0"/>
          <w:color w:val="000000" w:themeColor="text1"/>
          <w14:textFill>
            <w14:solidFill>
              <w14:schemeClr w14:val="tx1"/>
            </w14:solidFill>
          </w14:textFill>
        </w:rPr>
      </w:pPr>
      <w:bookmarkStart w:id="35" w:name="_Toc84600848"/>
      <w:r>
        <w:rPr>
          <w:rFonts w:hint="eastAsia" w:ascii="楷体" w:hAnsi="楷体"/>
          <w:b w:val="0"/>
          <w:color w:val="000000" w:themeColor="text1"/>
          <w14:textFill>
            <w14:solidFill>
              <w14:schemeClr w14:val="tx1"/>
            </w14:solidFill>
          </w14:textFill>
        </w:rPr>
        <w:t>健全安全保障体系</w:t>
      </w:r>
      <w:bookmarkEnd w:id="35"/>
    </w:p>
    <w:p>
      <w:pPr>
        <w:pStyle w:val="32"/>
        <w:ind w:firstLine="640"/>
        <w:rPr>
          <w:b/>
          <w:color w:val="000000" w:themeColor="text1"/>
          <w14:textFill>
            <w14:solidFill>
              <w14:schemeClr w14:val="tx1"/>
            </w14:solidFill>
          </w14:textFill>
        </w:rPr>
      </w:pPr>
      <w:r>
        <w:rPr>
          <w:rFonts w:hint="eastAsia"/>
          <w:color w:val="000000" w:themeColor="text1"/>
          <w14:textFill>
            <w14:solidFill>
              <w14:schemeClr w14:val="tx1"/>
            </w14:solidFill>
          </w14:textFill>
        </w:rPr>
        <w:t>健全安全运营管理机制，完善落实数据安全法律规范和管理办法，加强数据安全业务培训、技术防范和应急演练。建立网络安全管理责任制，明确安全责任边界，强化安全防护意识，</w:t>
      </w:r>
      <w:r>
        <w:rPr>
          <w:color w:val="000000" w:themeColor="text1"/>
          <w14:textFill>
            <w14:solidFill>
              <w14:schemeClr w14:val="tx1"/>
            </w14:solidFill>
          </w14:textFill>
        </w:rPr>
        <w:t>形成数据安全共治理念</w:t>
      </w:r>
      <w:r>
        <w:rPr>
          <w:rFonts w:hint="eastAsia"/>
          <w:color w:val="000000" w:themeColor="text1"/>
          <w14:textFill>
            <w14:solidFill>
              <w14:schemeClr w14:val="tx1"/>
            </w14:solidFill>
          </w14:textFill>
        </w:rPr>
        <w:t>，推动</w:t>
      </w:r>
      <w:r>
        <w:rPr>
          <w:color w:val="000000" w:themeColor="text1"/>
          <w14:textFill>
            <w14:solidFill>
              <w14:schemeClr w14:val="tx1"/>
            </w14:solidFill>
          </w14:textFill>
        </w:rPr>
        <w:t>各地各部门</w:t>
      </w:r>
      <w:r>
        <w:rPr>
          <w:rFonts w:hint="eastAsia"/>
          <w:color w:val="000000" w:themeColor="text1"/>
          <w14:textFill>
            <w14:solidFill>
              <w14:schemeClr w14:val="tx1"/>
            </w14:solidFill>
          </w14:textFill>
        </w:rPr>
        <w:t>共同</w:t>
      </w:r>
      <w:r>
        <w:rPr>
          <w:color w:val="000000" w:themeColor="text1"/>
          <w14:textFill>
            <w14:solidFill>
              <w14:schemeClr w14:val="tx1"/>
            </w14:solidFill>
          </w14:textFill>
        </w:rPr>
        <w:t>参与</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安全建设，</w:t>
      </w:r>
      <w:r>
        <w:rPr>
          <w:rFonts w:hint="eastAsia"/>
          <w:color w:val="000000" w:themeColor="text1"/>
          <w14:textFill>
            <w14:solidFill>
              <w14:schemeClr w14:val="tx1"/>
            </w14:solidFill>
          </w14:textFill>
        </w:rPr>
        <w:t>避免出现重要信息泄露风险。优化安全保障防护策略，严格按照国家《信息安全技术网络安全等级保护基本要求》进行防护，建立“数字政府”网络安全应急指挥中心，制订突发事件应急响应预案，定期开展应急演练，不断完善预案，规范应急处理流程。构建网络安全预警防护体系，提升安全风险管控能力。提升安全技术支撑，稳步推进国产自主产品在重要领域的应用，使用规范的国产密码基础设施。加快推</w:t>
      </w:r>
      <w:r>
        <w:rPr>
          <w:rFonts w:hint="eastAsia" w:ascii="Times New Roman" w:hAnsi="Times New Roman" w:cs="Times New Roman"/>
          <w:color w:val="000000" w:themeColor="text1"/>
          <w14:textFill>
            <w14:solidFill>
              <w14:schemeClr w14:val="tx1"/>
            </w14:solidFill>
          </w14:textFill>
        </w:rPr>
        <w:t>进5G、人</w:t>
      </w:r>
      <w:r>
        <w:rPr>
          <w:rFonts w:hint="eastAsia"/>
          <w:color w:val="000000" w:themeColor="text1"/>
          <w14:textFill>
            <w14:solidFill>
              <w14:schemeClr w14:val="tx1"/>
            </w14:solidFill>
          </w14:textFill>
        </w:rPr>
        <w:t>工智能、物联网等新兴科技领域的安全保障体系建设，推进技术融合，为新技术、新手段的广泛应用提供安全保障。推进同城双活数据中心、异地备份中心、大数据中心</w:t>
      </w:r>
      <w:r>
        <w:rPr>
          <w:color w:val="000000" w:themeColor="text1"/>
          <w14:textFill>
            <w14:solidFill>
              <w14:schemeClr w14:val="tx1"/>
            </w14:solidFill>
          </w14:textFill>
        </w:rPr>
        <w:t>建设</w:t>
      </w:r>
      <w:r>
        <w:rPr>
          <w:rFonts w:hint="eastAsia"/>
          <w:color w:val="000000" w:themeColor="text1"/>
          <w14:textFill>
            <w14:solidFill>
              <w14:schemeClr w14:val="tx1"/>
            </w14:solidFill>
          </w14:textFill>
        </w:rPr>
        <w:t>，确保数据安全。</w:t>
      </w:r>
    </w:p>
    <w:p>
      <w:pPr>
        <w:pStyle w:val="3"/>
        <w:numPr>
          <w:ilvl w:val="0"/>
          <w:numId w:val="2"/>
        </w:numPr>
        <w:spacing w:before="0" w:after="0"/>
        <w:ind w:firstLineChars="0"/>
        <w:rPr>
          <w:color w:val="000000" w:themeColor="text1"/>
          <w14:textFill>
            <w14:solidFill>
              <w14:schemeClr w14:val="tx1"/>
            </w14:solidFill>
          </w14:textFill>
        </w:rPr>
      </w:pPr>
      <w:bookmarkStart w:id="36" w:name="_Toc84600849"/>
      <w:r>
        <w:rPr>
          <w:color w:val="000000" w:themeColor="text1"/>
          <w14:textFill>
            <w14:solidFill>
              <w14:schemeClr w14:val="tx1"/>
            </w14:solidFill>
          </w14:textFill>
        </w:rPr>
        <w:t>保障</w:t>
      </w:r>
      <w:r>
        <w:rPr>
          <w:rFonts w:hint="eastAsia"/>
          <w:color w:val="000000" w:themeColor="text1"/>
          <w14:textFill>
            <w14:solidFill>
              <w14:schemeClr w14:val="tx1"/>
            </w14:solidFill>
          </w14:textFill>
        </w:rPr>
        <w:t>措施</w:t>
      </w:r>
      <w:bookmarkEnd w:id="36"/>
    </w:p>
    <w:p>
      <w:pPr>
        <w:pStyle w:val="4"/>
        <w:numPr>
          <w:ilvl w:val="0"/>
          <w:numId w:val="8"/>
        </w:numPr>
        <w:ind w:hanging="423"/>
        <w:rPr>
          <w:rFonts w:ascii="楷体" w:hAnsi="楷体"/>
          <w:b w:val="0"/>
          <w:color w:val="000000" w:themeColor="text1"/>
          <w14:textFill>
            <w14:solidFill>
              <w14:schemeClr w14:val="tx1"/>
            </w14:solidFill>
          </w14:textFill>
        </w:rPr>
      </w:pPr>
      <w:bookmarkStart w:id="37" w:name="_Toc84600850"/>
      <w:r>
        <w:rPr>
          <w:rFonts w:hint="eastAsia" w:ascii="楷体" w:hAnsi="楷体"/>
          <w:b w:val="0"/>
          <w:color w:val="000000" w:themeColor="text1"/>
          <w14:textFill>
            <w14:solidFill>
              <w14:schemeClr w14:val="tx1"/>
            </w14:solidFill>
          </w14:textFill>
        </w:rPr>
        <w:t>强化组织领导</w:t>
      </w:r>
      <w:bookmarkEnd w:id="37"/>
    </w:p>
    <w:p>
      <w:pPr>
        <w:pStyle w:val="3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成立市数字化改革工作领导小组下的数字政府建设专班，全面负责全市数字政府建设。各县（市、区）政府、市级部门</w:t>
      </w:r>
      <w:r>
        <w:rPr>
          <w:color w:val="000000" w:themeColor="text1"/>
          <w14:textFill>
            <w14:solidFill>
              <w14:schemeClr w14:val="tx1"/>
            </w14:solidFill>
          </w14:textFill>
        </w:rPr>
        <w:t>须</w:t>
      </w:r>
      <w:r>
        <w:rPr>
          <w:rFonts w:hint="eastAsia"/>
          <w:color w:val="000000" w:themeColor="text1"/>
          <w14:textFill>
            <w14:solidFill>
              <w14:schemeClr w14:val="tx1"/>
            </w14:solidFill>
          </w14:textFill>
        </w:rPr>
        <w:t>坚持“一把手”亲自抓的责任落实机制，</w:t>
      </w:r>
      <w:r>
        <w:rPr>
          <w:color w:val="000000" w:themeColor="text1"/>
          <w14:textFill>
            <w14:solidFill>
              <w14:schemeClr w14:val="tx1"/>
            </w14:solidFill>
          </w14:textFill>
        </w:rPr>
        <w:t>推行</w:t>
      </w:r>
      <w:r>
        <w:rPr>
          <w:rFonts w:hint="eastAsia"/>
          <w:color w:val="000000" w:themeColor="text1"/>
          <w14:textFill>
            <w14:solidFill>
              <w14:schemeClr w14:val="tx1"/>
            </w14:solidFill>
          </w14:textFill>
        </w:rPr>
        <w:t>“项目化实</w:t>
      </w:r>
      <w:r>
        <w:rPr>
          <w:rFonts w:hint="eastAsia" w:ascii="Times New Roman" w:hAnsi="Times New Roman" w:cs="Times New Roman"/>
          <w:color w:val="000000" w:themeColor="text1"/>
          <w14:textFill>
            <w14:solidFill>
              <w14:schemeClr w14:val="tx1"/>
            </w14:solidFill>
          </w14:textFill>
        </w:rPr>
        <w:t>施+</w:t>
      </w:r>
      <w:r>
        <w:rPr>
          <w:rFonts w:hint="eastAsia"/>
          <w:color w:val="000000" w:themeColor="text1"/>
          <w14:textFill>
            <w14:solidFill>
              <w14:schemeClr w14:val="tx1"/>
            </w14:solidFill>
          </w14:textFill>
        </w:rPr>
        <w:t>专班化推进”方式，完善跨部门、跨领域、跨层级高效协同机制。制订具体的工作推进方案，形成定位准确、边界清晰、功能互补、统一衔接的规划体系。</w:t>
      </w:r>
    </w:p>
    <w:p>
      <w:pPr>
        <w:pStyle w:val="4"/>
        <w:numPr>
          <w:ilvl w:val="0"/>
          <w:numId w:val="8"/>
        </w:numPr>
        <w:ind w:hanging="423"/>
        <w:rPr>
          <w:rFonts w:ascii="楷体" w:hAnsi="楷体"/>
          <w:b w:val="0"/>
          <w:color w:val="000000" w:themeColor="text1"/>
          <w14:textFill>
            <w14:solidFill>
              <w14:schemeClr w14:val="tx1"/>
            </w14:solidFill>
          </w14:textFill>
        </w:rPr>
      </w:pPr>
      <w:bookmarkStart w:id="38" w:name="_Toc84600851"/>
      <w:r>
        <w:rPr>
          <w:rFonts w:hint="eastAsia" w:ascii="楷体" w:hAnsi="楷体"/>
          <w:b w:val="0"/>
          <w:color w:val="000000" w:themeColor="text1"/>
          <w14:textFill>
            <w14:solidFill>
              <w14:schemeClr w14:val="tx1"/>
            </w14:solidFill>
          </w14:textFill>
        </w:rPr>
        <w:t>强化人才支撑</w:t>
      </w:r>
      <w:bookmarkEnd w:id="38"/>
    </w:p>
    <w:p>
      <w:pPr>
        <w:pStyle w:val="3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深化推进“揭榜挂帅”全球引才机制，实施更加开放积极的人才引进政策，探索符合行业市场标准的“体制内编制、市场化管理”创新机制，真正实现从“引进来”到“用起来”。建立“不求所有，但求所用”的柔性引才引智机制，积极吸引高端人才采取柔性流动方式来金华从事兼职、咨询、讲学、科研和技术合作等工作，提供智力服务。加强“数字政府”人才队伍建设，各县（市、区）、市级部门完善考核和激励机制，积极培养既精通政府业务又能运用互联网技术和信息化手段开展工作的综合型人才。</w:t>
      </w:r>
    </w:p>
    <w:p>
      <w:pPr>
        <w:pStyle w:val="4"/>
        <w:numPr>
          <w:ilvl w:val="0"/>
          <w:numId w:val="8"/>
        </w:numPr>
        <w:ind w:hanging="423"/>
        <w:rPr>
          <w:rFonts w:ascii="楷体" w:hAnsi="楷体"/>
          <w:b w:val="0"/>
          <w:color w:val="000000" w:themeColor="text1"/>
          <w14:textFill>
            <w14:solidFill>
              <w14:schemeClr w14:val="tx1"/>
            </w14:solidFill>
          </w14:textFill>
        </w:rPr>
      </w:pPr>
      <w:bookmarkStart w:id="39" w:name="_Toc84600852"/>
      <w:r>
        <w:rPr>
          <w:rFonts w:hint="eastAsia" w:ascii="楷体" w:hAnsi="楷体"/>
          <w:b w:val="0"/>
          <w:color w:val="000000" w:themeColor="text1"/>
          <w14:textFill>
            <w14:solidFill>
              <w14:schemeClr w14:val="tx1"/>
            </w14:solidFill>
          </w14:textFill>
        </w:rPr>
        <w:t>强化资金支持</w:t>
      </w:r>
      <w:bookmarkEnd w:id="39"/>
    </w:p>
    <w:p>
      <w:pPr>
        <w:pStyle w:val="3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加大数字政府建设资金支持力度，统筹市级政务信息化建设各类资金，将“数字政府”建设项目纳入政府财政预算，加强预算绩效管理。鼓励有条件部门积极争取上级资金和项目支持。拓宽投融资渠道，逐步探索建立政府引导、企业为主、金融机构积极支持、民间资本广泛参与的数字政府建设投融资模式，形成可持续发展的商业模式。</w:t>
      </w:r>
    </w:p>
    <w:p>
      <w:pPr>
        <w:pStyle w:val="4"/>
        <w:numPr>
          <w:ilvl w:val="0"/>
          <w:numId w:val="8"/>
        </w:numPr>
        <w:ind w:hanging="423"/>
        <w:rPr>
          <w:rFonts w:ascii="楷体" w:hAnsi="楷体"/>
          <w:b w:val="0"/>
          <w:color w:val="000000" w:themeColor="text1"/>
          <w14:textFill>
            <w14:solidFill>
              <w14:schemeClr w14:val="tx1"/>
            </w14:solidFill>
          </w14:textFill>
        </w:rPr>
      </w:pPr>
      <w:bookmarkStart w:id="40" w:name="_Toc84600853"/>
      <w:r>
        <w:rPr>
          <w:rFonts w:hint="eastAsia" w:ascii="楷体" w:hAnsi="楷体"/>
          <w:b w:val="0"/>
          <w:color w:val="000000" w:themeColor="text1"/>
          <w14:textFill>
            <w14:solidFill>
              <w14:schemeClr w14:val="tx1"/>
            </w14:solidFill>
          </w14:textFill>
        </w:rPr>
        <w:t>强化项目统筹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制定出台《电子政务项目评审管理办法》，建立项目联审机制，强化对项目的管理，</w:t>
      </w:r>
      <w:r>
        <w:rPr>
          <w:rFonts w:hint="eastAsia" w:ascii="仿宋_GB2312" w:hAnsi="仿宋_GB2312" w:eastAsia="仿宋_GB2312" w:cs="仿宋_GB2312"/>
          <w:color w:val="000000"/>
          <w:sz w:val="32"/>
          <w:szCs w:val="32"/>
        </w:rPr>
        <w:t>防止重复建设、过度建设</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s="Times New Roman"/>
          <w:sz w:val="32"/>
          <w:szCs w:val="32"/>
        </w:rPr>
        <w:t>从用户活跃度和满意度、应用使用频次、数据编目率、数据共享和贡献率、组件贡献度和复用度、应用共享度、云资源高效使用标准、云资源先充值后付费模式、源代码复用、文档完整性和预算执行率等方面对项目绩效进行技术评价，提升项目的统筹能力。</w:t>
      </w:r>
    </w:p>
    <w:p>
      <w:pPr>
        <w:pStyle w:val="4"/>
        <w:numPr>
          <w:ilvl w:val="0"/>
          <w:numId w:val="8"/>
        </w:numPr>
        <w:ind w:hanging="423"/>
        <w:rPr>
          <w:rFonts w:ascii="楷体" w:hAnsi="楷体"/>
          <w:b w:val="0"/>
          <w:color w:val="000000" w:themeColor="text1"/>
          <w14:textFill>
            <w14:solidFill>
              <w14:schemeClr w14:val="tx1"/>
            </w14:solidFill>
          </w14:textFill>
        </w:rPr>
      </w:pPr>
      <w:r>
        <w:rPr>
          <w:rFonts w:hint="eastAsia" w:ascii="楷体" w:hAnsi="楷体"/>
          <w:b w:val="0"/>
          <w:color w:val="000000" w:themeColor="text1"/>
          <w14:textFill>
            <w14:solidFill>
              <w14:schemeClr w14:val="tx1"/>
            </w14:solidFill>
          </w14:textFill>
        </w:rPr>
        <w:t>强化制度保障</w:t>
      </w:r>
      <w:bookmarkEnd w:id="40"/>
    </w:p>
    <w:p>
      <w:pPr>
        <w:pStyle w:val="32"/>
        <w:ind w:firstLine="640"/>
        <w:rPr>
          <w:color w:val="000000" w:themeColor="text1"/>
          <w14:textFill>
            <w14:solidFill>
              <w14:schemeClr w14:val="tx1"/>
            </w14:solidFill>
          </w14:textFill>
        </w:rPr>
        <w:sectPr>
          <w:footerReference r:id="rId4" w:type="default"/>
          <w:pgSz w:w="11906" w:h="16838"/>
          <w:pgMar w:top="1440" w:right="1800" w:bottom="1440" w:left="1800" w:header="907" w:footer="964" w:gutter="0"/>
          <w:pgNumType w:start="1"/>
          <w:cols w:space="425" w:num="1"/>
          <w:docGrid w:type="lines" w:linePitch="312" w:charSpace="0"/>
        </w:sectPr>
      </w:pPr>
      <w:r>
        <w:rPr>
          <w:rFonts w:hint="eastAsia"/>
          <w:color w:val="000000" w:themeColor="text1"/>
          <w14:textFill>
            <w14:solidFill>
              <w14:schemeClr w14:val="tx1"/>
            </w14:solidFill>
          </w14:textFill>
        </w:rPr>
        <w:t>各地各部门要进一步统一思想认识，切实增强做好数字政府建设的责任意识。加强政府数字化建设的归口管理、统一审批制度建设。建立规划实施的动态评估、滚动调整和监督考核机制。构建科学的评价指标体系，加强信息化建设项目和部门应用的绩效评估，评估结果纳入部门实绩考核内容，并作为下一年度数字化项目立项审核的依据。</w:t>
      </w:r>
    </w:p>
    <w:p>
      <w:pPr>
        <w:pStyle w:val="3"/>
        <w:numPr>
          <w:ilvl w:val="0"/>
          <w:numId w:val="2"/>
        </w:numPr>
        <w:spacing w:before="0" w:after="0"/>
        <w:ind w:firstLineChars="0"/>
        <w:rPr>
          <w:color w:val="000000" w:themeColor="text1"/>
          <w14:textFill>
            <w14:solidFill>
              <w14:schemeClr w14:val="tx1"/>
            </w14:solidFill>
          </w14:textFill>
        </w:rPr>
      </w:pPr>
      <w:bookmarkStart w:id="41" w:name="_Toc84600854"/>
      <w:r>
        <w:rPr>
          <w:rFonts w:hint="eastAsia"/>
          <w:color w:val="000000" w:themeColor="text1"/>
          <w14:textFill>
            <w14:solidFill>
              <w14:schemeClr w14:val="tx1"/>
            </w14:solidFill>
          </w14:textFill>
        </w:rPr>
        <w:t>重点建设项目</w:t>
      </w:r>
      <w:bookmarkEnd w:id="41"/>
    </w:p>
    <w:p>
      <w:pPr>
        <w:spacing w:line="400" w:lineRule="exact"/>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金华市数字政府 “十四五”重点建设项目</w:t>
      </w:r>
    </w:p>
    <w:tbl>
      <w:tblPr>
        <w:tblStyle w:val="16"/>
        <w:tblpPr w:leftFromText="180" w:rightFromText="180" w:vertAnchor="text" w:horzAnchor="page" w:tblpX="1627" w:tblpY="4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045"/>
        <w:gridCol w:w="2382"/>
        <w:gridCol w:w="5839"/>
        <w:gridCol w:w="128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42" w:type="dxa"/>
            <w:vAlign w:val="center"/>
          </w:tcPr>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序号</w:t>
            </w:r>
          </w:p>
        </w:tc>
        <w:tc>
          <w:tcPr>
            <w:tcW w:w="1045"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项目名称</w:t>
            </w:r>
          </w:p>
        </w:tc>
        <w:tc>
          <w:tcPr>
            <w:tcW w:w="2382"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项目目标</w:t>
            </w:r>
          </w:p>
        </w:tc>
        <w:tc>
          <w:tcPr>
            <w:tcW w:w="5839"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工作任务</w:t>
            </w:r>
          </w:p>
        </w:tc>
        <w:tc>
          <w:tcPr>
            <w:tcW w:w="1286"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牵头单位</w:t>
            </w:r>
          </w:p>
        </w:tc>
        <w:tc>
          <w:tcPr>
            <w:tcW w:w="2551"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协同单位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一体化智能化公共数据平台</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紧紧围绕数字化改革总目标，按照“以用促建、共建共享”的原则，打造健壮稳定、集约高效、自 主可控、安全可信、开放兼容的一体化智能化公共数据平台</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加强“浙里办”“浙政钉”两个掌上（前端） 建设，实现数字化改革应用一端集成、同源发布。打造集约高效的应用集成体系，强化业务应用支撑，部署综合集成工具。建设一体化智能化应用支撑体系，迭代升级各类应用支撑系统，拓展智能化组件支撑能力。构筑共享开放的一体化数据资源体系，强化数据归集，保障数据共享，推进数据开放。完善政务云服务体系，提升政务外网能力，提升电子政务视联网能力，探索感知网络建设，深化政务内网建设。</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市大数据局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市级有关单位，各县（市、区）政府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2</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党政机关整体智治综合应用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构建纵向到底、横向到边、全网覆盖、无缝对接的党政机关协同工作体系，实现在新型党政数字化协同起点上取得新突破，推动市域治理体系和治理能力现代化，打造金华市整体智治“重要窗口”的标志性成果</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采用省“四横四纵”标准架构，依托金华市一体化智能化公共数据平台，实现政务网络与党政各部门互联互通。在业务梳理、数字赋能基础上构建的核心业务事件组，以数字化形式反映各领域各部门的年度重点工作和整体运行情况。以“后陈经验”村级事务数字化工作平台、“数智婺城”协同治理应用，“一图三色五指数”整体智治综合应用、村干部队伍数字化管理等应用建设为先，推进党政机关整体智治系统各主要领域的数字化突破</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市委办公室、市人大常委会办公室、市政府办公室、市政协办公室</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市委机要局、市大数据局等市级有关单位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3</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常态化疫情防控应用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构建主动发现、快速响应、有效处置、科学评价、结果运用等跨部门、跨业务、跨地区疫情防控闭环管理执行链，推动“源头查控</w:t>
            </w:r>
            <w:r>
              <w:rPr>
                <w:rFonts w:ascii="Calibri" w:hAnsi="Calibri" w:cs="Calibri"/>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硬核隔离</w:t>
            </w:r>
            <w:r>
              <w:rPr>
                <w:rFonts w:ascii="Calibri" w:hAnsi="Calibri" w:cs="Calibri"/>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精密智控”疫情防控体制机制持续改革完善</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围绕重大疫情防控“四个确保一个力争”工作总目标，集成“健康码”“浙冷链”、药品销售监测、发热门诊监测等系统，建设多点触发预警模型、流调溯源、重点人员管控、集中隔离场所管控、冷链物防、疫苗追溯（浙苗链）、核酸筛查、应急指挥、医疗救治、资源调度、精密智控、绩效评价等核心模块</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市卫生健康委</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市公安局、市农业农村局、市市场监管局、市大数据局、市政府办公室、金华海关等市级有关单位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4</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科技创新应用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为赋能高水平创新型城市建设提供科技支撑。实现科技数据“一网打尽”，真正实现从“办事平台”向“科技大脑”转型</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深化科技大脑建设。集成科技大脑的项目、载体、企业、人才等子系统，通过科技资源一体化配置，强化创新主体地位，集成建设创新主体培育、高能级平台建设、核心技术攻关、科研成果转化等模块，运用分析研判、创新指引、要素分配、成效评价等人工智能技术，构建创新链图谱、“卡脖子”技术清单、科技攻关项目、科研成果的执行链；开展基于大数据的人工智能分析。推进人才科技“解绑挂帅”云平台建设，紧贴企业发展和人才成长的“双痛点”，持续提升平台服务水平</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市科技局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市委组织部、市发改委、市经信局、市财政局、市人力社保局、市审计局、市市场监管局、市金融办、市税务局等市级有关单位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5</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产业发展应用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形成“科学决策、高效执行、精准监管、综合评价”的工作闭环，持续依托数字化手段推进产业结构转型升级，实现产业高质量、跨越式发展</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集成经济运行监测、投资项目管理、产业链数据中心、平台经济风险防控、“亩均论英雄”等应用和数据，深化市场、资金、人才、技术和服务保障等重点环节场景应用；集成数字经济系统相关应用</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市经信局、市科技局、市人力社保局、市农业农村局、市商务局、市税务局、市市场监管局、市金融办、市行政服务中心、国网金华供电公司、人行金华市中心支行、金华银保监分局等市级有关单位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6</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双循环应用系统</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形成“任务分解、执行、监测、预警、评价、反馈”工作闭环，深入挖掘国内市场潜力，全面提升对外开放水平</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聚焦塑造产业竞争优势、消费提质扩容、扩大有效投资、构筑开放新优势、赋能市场主体、增强循环畅通等重点领域，集成数字生活新服务、外贸“订单</w:t>
            </w:r>
            <w:r>
              <w:rPr>
                <w:rFonts w:ascii="Calibri" w:hAnsi="Calibri" w:cs="Calibri"/>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清单”、金融综合服务、物流管理等数据和系统，挖掘宏观、中观、微观以及高频数据，着重建设“一支点四枢纽”应用场景。建设出口贸易数字履约平台，提升出口贸易服务水平。建设跨境贸易综合服务平台，通过汇聚海关、外汇、税务和商务等部门数据，探索跨境金融结算、跨境投融资、跨境人民币、跨境物流业务。</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市商务局、市自贸办、义乌市、金义新区</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市发改委、市教育局、市科技局、市交通运输局、市文广旅游局、市金融办、市贸促会、市税务局、人行金华市中心支行、金华银保监分局、金华海关等市级有关单位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7</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营商环境市场活力应用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打造营商环境市场活力应用，深入推进涉企改革，集成深化涉企应用，优化惠企政策供给，助力打造营商环境最优市，争创国家信用示范城市</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集成浙里亲清政策专区、企业综合服务平台、企业全生命周期办事服务（企业开办和注销、办理建筑许可、获得水电气和网络、获得信贷、纳税、跨境贸易、执行合同、办理破产、不动产登记等）、创新资源服务、知识产权保护、公共资源交易、互联网</w:t>
            </w:r>
            <w:r>
              <w:rPr>
                <w:rFonts w:ascii="Calibri" w:hAnsi="Calibri" w:cs="Calibri"/>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监管、要素资源配置、政府采购等系统应用，建设任务触发、决策助力、执行监测、督查评价等核心模块，运用群众企业咨询投诉举报、互联网舆情、公共数据、问卷调查等大数据分析，打造营商环境最优市。根据“三窗口两中心一基地”的要求，全面加强市县乡行政服务中心建设，推进政务服务数字化改革，强化线上线下审批协同。加快推进“信用金华”建设，持续推进“信义金”特色场景应用开发。建设市场主体事中事后数字化监管平台</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市发改委、市市场监管局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市行政服务中心、市经信局、市司法局、市财政局、市资规局、市建设局、市商务局、市税务局、市大数据局、市法院、市税务局、国网金华供电公司、人行金华市中心支行等市级有关单位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8</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乡村振兴应用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扩大群众在基层治理中的参与度和获得感，促进基层治理高效透明</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依托地理信息、遥感测绘、人工智能等技术，汇聚多源农业农村数据，构建“数字乡村一张图”，进一步丰富、优化基层办事、服务、管理等功能。运用大数据分析等数字化手段，建设“田间一件事”智慧服务应用、农民建房“一件事”应用、“婺美乡村”应用等，构建乡村幸福生活、产业振兴、安全监管、经济监测、绩效评估的执行链，以数字赋能乡村振兴，促进城乡融合发展</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市农业农村局、市纪委、武义县</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市教育局、市民政局、市人力社保局、市资规局、市生态环境局、市建设局、市交通运输局、市医保局、市统计局、市大数据局、市供销社、市气象局等市级有关单位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9</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生态环境保护综合协同管理应用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集成生态环境保护管理应用，提升生态环境治理智能化水平</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集成地表水水质预测预警、大气环境监测预报预警、固废治理数字化应用、河湖库保护等系统，加强生态环境全要素态势感知、污染源数字化档案、污染防治攻坚战指挥协同、生态环境治理应用服务等模块应用，构建生态环境数字治理体系和生态环境质量评价体系；基于“浙江省水管理平台”构建并添加金华特色应用，推进金华市数字河湖管理平台迭代升级。深入迭代工业固废“一件事”应用场景，从服务端解决企业固废处置难题，破解工业固废治理困境</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市生态环境局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市发改委、市经信局、市公安局、市建设局、市交通运输局、市水利局、市农业农村局、市市场监管局、市供销社等市级有关单位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10</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安全生产风险防控和应急救援应用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运用企业安全风险评估、事故知识图谱、管控力指数等大数据分析，实现风险精准识别、高效处置、有效防范，提升应急管理精密智控水平；构建“大安全、大应急、大减灾”体系，推进“基层党建</w:t>
            </w:r>
            <w:r>
              <w:rPr>
                <w:rFonts w:ascii="Calibri" w:hAnsi="Calibri" w:cs="Calibri"/>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安全生产标准化”建设，确保生产安全事故起数、死亡人数双下降</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集成行政审批、行政执法、危化品物流管控、渔船监管、消防安全风险评估、重大危险源监测预警、非煤矿山监测预警、水旱灾害监测预警、小流域山洪预警、建筑工地管理、特种设备监测预警、应急物资保障、基层安全生产风险处置等模块应用，建设安全生产风险识别、风险研判、风险防控、指挥救援、绩效评估等核心模块；谋划金华特色的“遏重大”攻坚战、危险化学品全生命周期风险管控、工业企业建设“一码管地”信息系统、特种设备“远程诊断”系统；推广建设“智安小区”“智安单位”；推进小流域山洪灾害预警及应急联动（数字河湖）建设</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市应急管理局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市委政法委、市水利局、市安委会各成员单位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11</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数字资规应用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以“数字资规”应用建设技术体系为统领，分期健全各类应用系统，全面支撑资规局业务发展</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建设国土空间规划一张图实施监督信息，新建业务联动治理系统，新建要素保障调度管理系统，新建自然资源建设项目监管系统，建设统一综合使用门户，融入纵横互通体系。围绕优化完善核心应用，完成必须对接等分项行动开展工作。以提升政务服务智慧化，建设服务型政府为方向开展创新提升工作。建设覆盖市、区县（市）两级的土地储备全生命周期管理系统，构建土地储备中心，打通跨部门数据共享；利用信息化手段汇集多部门地图资源，利用空间分析实现地块的空间管控；基于大数据搭建决策模型和决策分析系统，辅助各做地主体进行科学谋划和计划。</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市资规局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市生态环境局、市</w:t>
            </w:r>
            <w:r>
              <w:rPr>
                <w:color w:val="000000" w:themeColor="text1"/>
                <w:szCs w:val="21"/>
                <w14:textFill>
                  <w14:solidFill>
                    <w14:schemeClr w14:val="tx1"/>
                  </w14:solidFill>
                </w14:textFill>
              </w:rPr>
              <w:t>建设</w:t>
            </w:r>
            <w:r>
              <w:rPr>
                <w:rFonts w:hint="eastAsia"/>
                <w:color w:val="000000" w:themeColor="text1"/>
                <w:szCs w:val="21"/>
                <w14:textFill>
                  <w14:solidFill>
                    <w14:schemeClr w14:val="tx1"/>
                  </w14:solidFill>
                </w14:textFill>
              </w:rPr>
              <w:t>局、市发改委、市财政局，各县（市、区）政府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12</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重点工程综合管理平台</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实现全市重点工程分布、施工状态、工程进度、现场情况、施工安全保护区、资金使用等信息掌握，为全市重点工程管理和调度提供信息支撑</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综合利用高分卫星遥感技术和地面传感器，面向金华市重点工程建设管理需求，实现全市重点工程分布、施工状态、工程进度、现场情况、施工安全保护区、资金使用等信息掌握，为金华市重点工程管理和调度提供信息支撑</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市建设局、市资规局、市交通局、市经信局、市轨道办等市级有关单位，各县（市、区）政府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13</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消防安全风险防控一体化平台</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融合消防物联网、网格化管理、大数据分析、力量调度、应急救援联勤联动为一体，实现“消防安全风险精准防控、隐患督改精确及时、事故处置智慧联动、监督执法共建共享、应急保障协同高效”</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形成多维海量数据智能处理分析“一张网”。汇聚部门协同数据、消防物联感知数据、社会监管类数据，建设多元开放数据库。形成消防安全风险监管“一张网”。通过对各类数据的关联分析，实现火灾隐患识别、单位自主管理行为、重点行业区域消防安全风险、行业监管执法、行业信用评价等智能化分析模型，督促单位落实消防安全主体责任，推动部门形成监管合力，构建闭环管理的数字化风险监管。基于城市数字地图，升级一体化实战指挥平台，建设灭火救援现场和作战指挥中心数据链、开发智慧应急救援可视化“数字指挥舱”，形成可视化调度、扁平化指挥体系，实现综合应急救援高效迅捷</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消防救援支队</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市大数据局，市安委会各成员单位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14</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“金华市智慧文旅（广电大脑）”及其配套应用建设</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通过金华市智慧文旅建设，实现旅游监管、营销与服务的全面升级</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通过大数据协助政府掌握新动向和群众需求，预判决策效果并做出调整；基于大数据的政府管理更加科学化、现代化和智能化。以数字化引领旅游业发展方向，构建产业互联网；通过技术实现旅游产业上下游数字化、平台化；借助数字化推动文化产业和旅游产业间深度融合</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市文旅局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市大数据局、市场监管局、市资规局，各县（市、区）政府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15</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新型城镇化应用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全面实施以人为核心、高质量为导向的新型城镇化战略，围绕高水平推动人的现代化、规划布局现代化、城市建设现代化、城市治理现代化、城乡发展现代化，打造大都市区建设、小城镇建设、人口市民化等核心应用场景</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按照“整体智治、高效协同”理念，对现有部门数字化系统的整合提升、协同应用、集成重塑，构建科学决策、高效执行、精准服务、综合评价的执行链，为新型城镇化发展科学决策提供数字化、智能化支撑。通过“智慧横店”管理服务智慧系统、金华市生活垃圾数字化治理平台等特色多跨场景建设，提升全市新型城镇化建设智慧化水平</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市发改委、市信访局、市行政执法局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其他新型城镇化专班成员单位，各县（市、区）政府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16</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政府效能管理应用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构建目标体系量化、工作体系具化、政策体系细化、评价体系实化的政府效能管理应用，打造政府治理闭环执行链条</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将互联网</w:t>
            </w:r>
            <w:r>
              <w:rPr>
                <w:rFonts w:ascii="Calibri" w:hAnsi="Calibri" w:cs="Calibri"/>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督查、巡察、廉政建设、预算管理、审计监督、政务公开、绩效管理、建议提案办理、政务信息采编等子系统集成</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市政府办公室</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市人大常委会办公室、市政协办公室、市委改革办、市委网信办、市信访局等市级有关单位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17</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产业大脑建设</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打通政府侧和企业侧数据仓，实现产业链、经营链、创新链数据与公共资源数据的互连互通，实现跨层级、跨地域、跨平台、跨部门、跨业务的协同管理和服务，为技术融合、业务融合、数据融合提供有力支撑</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建设并集成数据中枢系统、政府侧数据仓、企业侧数据仓等；在政府侧，基于政务“一朵云”推动政府各部门有关数字经济运行的公共资源数据的共享应用，在企业侧，基于工业互联网平台，构建全要素、全产业链、全价值链的全面连接，着力推进五金（电动工具）行业产业大脑、横店影视文化产业大脑、棉纺织产业大脑、磐安县中药产业大脑建设，以重点行业产业大脑建设带动全行业产业大脑建设场景创新</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市经信局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市大数据局、市行政服务中心、市发改委、市科技局、市财政局、市人力社保局、市商务局、市市场监管局、市统计局、市金融办、市税务局、人行金华市中心支行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18</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产业链数据中心</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全面建成全市重点优势产业产业链数据中心</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以十大重点行业产业链为基础，逐步延伸拓展，建立全产业链关系图谱，整合部门共享数据、企业直报数据、县市摸排数据、平台对接数据、外部收集数据等，建设形成产业链鱼骨图、供应链关系图、产业招引图，依托多部门协同开展产业链治理，锻长板补短板行动常态化推进。</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市经信局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市发改委、市科技局、市人力社保局、市市场监管局、市商务局、市统计局、市税务局、金华海关、国网金华供电公司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19</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企业服务综合应用（企业码）系统</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形成以“企业码”为主要入口、各涉企服务码及应用作为特色子码和功能应用的全市企业服务生态系统；，加快政务服务、公益服务、市场服务协同发展，形成全天候、全方位、全覆盖、全流程的服务企业长效机制</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持续迭代升级“企业码”应用，综合集成并优化各涉企服务应用，加快打造聚焦精准、服务多元、政企互动、三级联动的“企业码”服务体系；加快推进多码融合，构建政企互动、银企互动、企业和企业互动、企业和消费者互动的场景化多业务协同应用格局</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市经信局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市大数据局、市企业码建设工作联席会议成员单位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20</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金融服务应用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以数据要素流动为核心，建设“金融数字大脑”</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健全优化金融机构与企业信息对接机制，支持银行贷款、保险理赔在线申请、政府公共数据共享、跨部门业务流程支持等功能，有效缓解融资难题、提升业务效率。加快金华市“信义贷”金融综合服务应用等建设和使用，提高金融资源配置效率，扩大金融服务覆盖面，提升金融服务实体经济水平。</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人行金华市中心支行、市金融办</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市发改委、市资规局、市金融办、市大数据局、市法院、金华银保监分局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21</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公共资源交易服务“总门户”</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打造全市公共资源交易“总门户”</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建设完善市场主体注册、CA数字证书互认、信息发布、大数据分析等应用，提供交易信息发布、信息公开、交易入口和交易基础服务功能。健全和完善公共资源交易分应用，提升改造现有工程建设项目招投标、政府采购、国有土地使用权出让和矿业权出让、国有产权交易、用能权交易、排污权交易等公共资源交易应用，建设“不见面”开标、远程异地评标等系统，实现与市公共资源交易服务应用融合对接。</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市发改委、市行政服务中心</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市财政局、市资规局、市生态环境局、市水利局、市农业农村局、市国资委、市医保局、市法院等市级有关单位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22</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城市大脑</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打造金华城市大脑数字化改革的“金字招牌”，实现城市整体感知、数据汇聚共享、业务高效协同、决策科学精准的目标</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以“城市大脑”公共数据平台建设和特色应用示范试点为抓手，打造城市综合指挥的数字脑干（中枢）、数字驾驶舱和能力工具箱，按照平战融合的要求，为社会治理、公共服务和经济发展提供精准、科学、高效的决策支撑，为突发公共事件的应急指挥决策做支撑；推进市级公共数据平台与城市大脑融合建设；充分利用全市现有信息基础设施、数据资源、应用系统，推进跨层级、跨部门、跨领域的高效服务、协同治理</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市大数据局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市级有关单位，各县（市、区）政府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23</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民生保障应用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围绕就业、养老、医疗、教育、体育、文旅等领域，集成和提升公共就业服务、医保、教育、退役军人综合服务等模块应用，切实保障和改善民生，加快创造高品质生活</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找准民生保障的小切口，切中关键场景，打造数字化“全民安心医保城市”应用、“金华运动银行”服务应用、“信义居”应用、“阳光招生”管理服务应用、学校安全综合监管应用、劳动关系智联防控应用、“智配直享”应用、退役军人全生命周期服务管理应用、智慧养老应用、民生“关键小事智能速办”应用、公积金贷款“一件事”、下山搬迁共同富裕“一件事”、“未来社区”智慧服务平台、入学入园综合集成服务平台等一系列覆盖民生保障各领域的智慧化应用</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市发改委</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市教育局、市民政局、市人力社保局、市卫生健康委、市文广旅游局、市退役军人事务局、市体育局、市医保局、市气象局等市级有关单位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24</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“云上公安、智慧警务”大数据应用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提升“云上公安、智慧警务”大数据应用</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以省公安厅打造的“一个基础平台、一个协同支撑平台、六个场景应用、一个安全防护体系”系统架构为基础，结合金华实际，建设</w:t>
            </w:r>
            <w:r>
              <w:rPr>
                <w:rFonts w:ascii="Calibri" w:hAnsi="Calibri" w:cs="Calibri"/>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个智慧公安支撑体系、</w:t>
            </w:r>
            <w:r>
              <w:rPr>
                <w:rFonts w:ascii="Calibri" w:hAnsi="Calibri" w:cs="Calibri"/>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个应用驱动、</w:t>
            </w:r>
            <w:r>
              <w:rPr>
                <w:rFonts w:ascii="Calibri" w:hAnsi="Calibri" w:cs="Calibri"/>
                <w:color w:val="000000" w:themeColor="text1"/>
                <w:szCs w:val="21"/>
                <w14:textFill>
                  <w14:solidFill>
                    <w14:schemeClr w14:val="tx1"/>
                  </w14:solidFill>
                </w14:textFill>
              </w:rPr>
              <w:t>N</w:t>
            </w:r>
            <w:r>
              <w:rPr>
                <w:rFonts w:hint="eastAsia"/>
                <w:color w:val="000000" w:themeColor="text1"/>
                <w:szCs w:val="21"/>
                <w14:textFill>
                  <w14:solidFill>
                    <w14:schemeClr w14:val="tx1"/>
                  </w14:solidFill>
                </w14:textFill>
              </w:rPr>
              <w:t>个智慧应用的“</w:t>
            </w:r>
            <w:r>
              <w:rPr>
                <w:rFonts w:ascii="Calibri" w:hAnsi="Calibri" w:cs="Calibri"/>
                <w:color w:val="000000" w:themeColor="text1"/>
                <w:szCs w:val="21"/>
                <w14:textFill>
                  <w14:solidFill>
                    <w14:schemeClr w14:val="tx1"/>
                  </w14:solidFill>
                </w14:textFill>
              </w:rPr>
              <w:t>1+3+N</w:t>
            </w:r>
            <w:r>
              <w:rPr>
                <w:rFonts w:hint="eastAsia"/>
                <w:color w:val="000000" w:themeColor="text1"/>
                <w:szCs w:val="21"/>
                <w14:textFill>
                  <w14:solidFill>
                    <w14:schemeClr w14:val="tx1"/>
                  </w14:solidFill>
                </w14:textFill>
              </w:rPr>
              <w:t>”金华模式架构。通过做强基础库，扩大比对库，研发数据应用模型，推进人员、车辆精密智控。坚持“雪亮工程”构建的“统一解析算法、统一图片存储、统一大数据中心”三统一技术架构，推进雪亮能力再提升，充分发扬数据共享、资源共用、应用共建的优势，全力打造全域感知、智慧认知的数据能力大基座。以“五星透视”平台大数据输出为核心能力，全力打造高能级主干应用中枢，构建以重点人、重点车、重点企业为核心的场景应用。打造智慧物联感知平台，不断提升公共安全智能感知水平</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市公安局</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市纪委监委机关、市大数据局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25</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社会矛盾纠纷调处化解集成应用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建设社会矛盾纠纷调处化解集成应用</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根据标准化的数据目录体系，建立规范化的数据采集、清洗、归集机制，建立全量社会矛盾纠纷风险库，完善各维度报表统计、研判分析、专题分析应用，建立矛调案例库、知识库等；加强与乡镇（街道）“基层治理四平台”综合信息系统双向协同，并扩大与相关部门的业务协同。打造“线上矛调中心”，推进群众服务在线平台规范建设，加强社情民意研判分析；建设风险监测系统。通过县级矛调中心矛盾纠纷兜底化解“一件事”、“龙山经验”数字化集成应用、金华市12345（8890）智能应用平台等应用场景建设，开展全量矛盾纠纷风险数据库建设，试点建立基于智能标签的社会矛盾风险预警管控系统</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市委政法委</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市信访局、市人力社保局、市公安局、市司法局、市大数据局、市法院、市检察院等市级有关单位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2" w:type="dxa"/>
            <w:noWrap/>
            <w:vAlign w:val="center"/>
          </w:tcPr>
          <w:p>
            <w:pPr>
              <w:rPr>
                <w:rFonts w:ascii="Times New Roman" w:hAnsi="Times New Roman" w:cs="Times New Roman"/>
                <w:b/>
                <w:bCs/>
                <w:color w:val="000000" w:themeColor="text1"/>
                <w14:textFill>
                  <w14:solidFill>
                    <w14:schemeClr w14:val="tx1"/>
                  </w14:solidFill>
                </w14:textFill>
              </w:rPr>
            </w:pPr>
            <w:r>
              <w:rPr>
                <w:rFonts w:ascii="Calibri" w:hAnsi="Calibri" w:eastAsia="等线" w:cs="Calibri"/>
                <w:b/>
                <w:bCs/>
                <w:color w:val="000000" w:themeColor="text1"/>
                <w:szCs w:val="21"/>
                <w14:textFill>
                  <w14:solidFill>
                    <w14:schemeClr w14:val="tx1"/>
                  </w14:solidFill>
                </w14:textFill>
              </w:rPr>
              <w:t>26</w:t>
            </w:r>
          </w:p>
        </w:tc>
        <w:tc>
          <w:tcPr>
            <w:tcW w:w="1045"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网格工作智能辅助应用</w:t>
            </w:r>
          </w:p>
        </w:tc>
        <w:tc>
          <w:tcPr>
            <w:tcW w:w="2382"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提升网格工作智能辅助能力，提高网格工作效能，实现网格事件只报一次、网格走访只巡一次</w:t>
            </w:r>
          </w:p>
        </w:tc>
        <w:tc>
          <w:tcPr>
            <w:tcW w:w="5839"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依托“浙政钉”深化“多通整合”，结合“八婺通”等功能，建立网格数据共享池，开展事件智能导办、人工智能辅助、在线培训赋能；建立网格事件数据质量分析应用，建设网格工作“好差评”功能模块和“网格入企、企业入格”工作模块；落实网格事务准入“一件事”线上审批。通过“八婺网格”智联通办应用、平安建设领域四色管理场景应用等应用场景建设，推进全域网格工作智能化</w:t>
            </w:r>
          </w:p>
        </w:tc>
        <w:tc>
          <w:tcPr>
            <w:tcW w:w="1286"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市委政法委</w:t>
            </w:r>
          </w:p>
        </w:tc>
        <w:tc>
          <w:tcPr>
            <w:tcW w:w="2551" w:type="dxa"/>
            <w:vAlign w:val="center"/>
          </w:tcPr>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市大数据局等市级有关单位，各县（市、区）政府</w:t>
            </w:r>
          </w:p>
        </w:tc>
      </w:tr>
    </w:tbl>
    <w:p>
      <w:pPr>
        <w:rPr>
          <w:rFonts w:ascii="方正小标宋简体" w:hAnsi="方正小标宋简体" w:eastAsia="方正小标宋简体" w:cs="方正小标宋简体"/>
          <w:bCs/>
          <w:color w:val="000000" w:themeColor="text1"/>
          <w:sz w:val="36"/>
          <w:szCs w:val="36"/>
          <w14:textFill>
            <w14:solidFill>
              <w14:schemeClr w14:val="tx1"/>
            </w14:solidFill>
          </w14:textFill>
        </w:rPr>
      </w:pPr>
    </w:p>
    <w:p/>
    <w:p>
      <w:pPr>
        <w:rPr>
          <w:color w:val="000000" w:themeColor="text1"/>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大标宋简体">
    <w:panose1 w:val="02000000000000000000"/>
    <w:charset w:val="86"/>
    <w:family w:val="auto"/>
    <w:pitch w:val="default"/>
    <w:sig w:usb0="A00002BF" w:usb1="184F6CFA" w:usb2="00000012"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12</w:t>
                    </w:r>
                    <w:r>
                      <w:fldChar w:fldCharType="end"/>
                    </w:r>
                  </w:p>
                </w:txbxContent>
              </v:textbox>
            </v:shape>
          </w:pict>
        </mc:Fallback>
      </mc:AlternateContent>
    </w: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35245336"/>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22</w:t>
                              </w:r>
                              <w:r>
                                <w:rPr>
                                  <w:rFonts w:ascii="Times New Roman" w:hAnsi="Times New Roman" w:cs="Times New Roman"/>
                                </w:rPr>
                                <w:fldChar w:fldCharType="end"/>
                              </w:r>
                            </w:p>
                          </w:sdtContent>
                        </w:sdt>
                        <w:p>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935245336"/>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22</w:t>
                        </w:r>
                        <w:r>
                          <w:rPr>
                            <w:rFonts w:ascii="Times New Roman" w:hAnsi="Times New Roman" w:cs="Times New Roman"/>
                          </w:rPr>
                          <w:fldChar w:fldCharType="end"/>
                        </w:r>
                      </w:p>
                    </w:sdtContent>
                  </w:sdt>
                  <w:p>
                    <w:pPr>
                      <w:rPr>
                        <w:rFonts w:ascii="Times New Roman" w:hAnsi="Times New Roman" w:cs="Times New Roman"/>
                      </w:rPr>
                    </w:pPr>
                  </w:p>
                </w:txbxContent>
              </v:textbox>
            </v:shape>
          </w:pict>
        </mc:Fallback>
      </mc:AlternateContent>
    </w:r>
  </w:p>
  <w:p>
    <w:pPr>
      <w:pStyle w:val="9"/>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B4B5E"/>
    <w:multiLevelType w:val="multilevel"/>
    <w:tmpl w:val="053B4B5E"/>
    <w:lvl w:ilvl="0" w:tentative="0">
      <w:start w:val="1"/>
      <w:numFmt w:val="japaneseCounting"/>
      <w:lvlText w:val="（%1）"/>
      <w:lvlJc w:val="left"/>
      <w:pPr>
        <w:ind w:left="990" w:hanging="99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862B6C"/>
    <w:multiLevelType w:val="multilevel"/>
    <w:tmpl w:val="0C862B6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5B67173"/>
    <w:multiLevelType w:val="multilevel"/>
    <w:tmpl w:val="25B67173"/>
    <w:lvl w:ilvl="0" w:tentative="0">
      <w:start w:val="1"/>
      <w:numFmt w:val="japaneseCounting"/>
      <w:lvlText w:val="（%1）"/>
      <w:lvlJc w:val="left"/>
      <w:pPr>
        <w:ind w:left="1053"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4C660E2"/>
    <w:multiLevelType w:val="multilevel"/>
    <w:tmpl w:val="34C660E2"/>
    <w:lvl w:ilvl="0" w:tentative="0">
      <w:start w:val="1"/>
      <w:numFmt w:val="japaneseCounting"/>
      <w:lvlText w:val="（%1）"/>
      <w:lvlJc w:val="left"/>
      <w:pPr>
        <w:ind w:left="1699" w:hanging="99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4D347C28"/>
    <w:multiLevelType w:val="multilevel"/>
    <w:tmpl w:val="4D347C28"/>
    <w:lvl w:ilvl="0" w:tentative="0">
      <w:start w:val="1"/>
      <w:numFmt w:val="japaneseCounting"/>
      <w:lvlText w:val="（%1）"/>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502509"/>
    <w:multiLevelType w:val="multilevel"/>
    <w:tmpl w:val="64502509"/>
    <w:lvl w:ilvl="0" w:tentative="0">
      <w:start w:val="1"/>
      <w:numFmt w:val="japaneseCounting"/>
      <w:lvlText w:val="（%1）"/>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4FE3859"/>
    <w:multiLevelType w:val="multilevel"/>
    <w:tmpl w:val="64FE3859"/>
    <w:lvl w:ilvl="0" w:tentative="0">
      <w:start w:val="1"/>
      <w:numFmt w:val="japaneseCounting"/>
      <w:pStyle w:val="4"/>
      <w:lvlText w:val="（%1）"/>
      <w:lvlJc w:val="left"/>
      <w:pPr>
        <w:ind w:left="198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C40578"/>
    <w:multiLevelType w:val="multilevel"/>
    <w:tmpl w:val="6BC40578"/>
    <w:lvl w:ilvl="0" w:tentative="0">
      <w:start w:val="1"/>
      <w:numFmt w:val="japaneseCounting"/>
      <w:lvlText w:val="（%1）"/>
      <w:lvlJc w:val="left"/>
      <w:pPr>
        <w:ind w:left="1132"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55"/>
    <w:rsid w:val="00002BDA"/>
    <w:rsid w:val="0000346E"/>
    <w:rsid w:val="00004285"/>
    <w:rsid w:val="00005789"/>
    <w:rsid w:val="000076B8"/>
    <w:rsid w:val="000106D8"/>
    <w:rsid w:val="000109C5"/>
    <w:rsid w:val="00012EB9"/>
    <w:rsid w:val="00014541"/>
    <w:rsid w:val="000155DF"/>
    <w:rsid w:val="0002078A"/>
    <w:rsid w:val="00020D86"/>
    <w:rsid w:val="000220E9"/>
    <w:rsid w:val="000227B4"/>
    <w:rsid w:val="00023B61"/>
    <w:rsid w:val="00023EE0"/>
    <w:rsid w:val="00024B04"/>
    <w:rsid w:val="0002549F"/>
    <w:rsid w:val="00027587"/>
    <w:rsid w:val="000303B8"/>
    <w:rsid w:val="00031A75"/>
    <w:rsid w:val="00032D0E"/>
    <w:rsid w:val="0003308E"/>
    <w:rsid w:val="0003449D"/>
    <w:rsid w:val="0003512A"/>
    <w:rsid w:val="000411E2"/>
    <w:rsid w:val="000425E3"/>
    <w:rsid w:val="00043167"/>
    <w:rsid w:val="000517B2"/>
    <w:rsid w:val="00052C0E"/>
    <w:rsid w:val="0005558E"/>
    <w:rsid w:val="000557D6"/>
    <w:rsid w:val="00055808"/>
    <w:rsid w:val="00055D19"/>
    <w:rsid w:val="00055D6B"/>
    <w:rsid w:val="00057969"/>
    <w:rsid w:val="000608CF"/>
    <w:rsid w:val="00060E62"/>
    <w:rsid w:val="0006103A"/>
    <w:rsid w:val="00061EFC"/>
    <w:rsid w:val="0006227B"/>
    <w:rsid w:val="000647FC"/>
    <w:rsid w:val="00064C6D"/>
    <w:rsid w:val="00067B64"/>
    <w:rsid w:val="00074988"/>
    <w:rsid w:val="00076B53"/>
    <w:rsid w:val="000777B3"/>
    <w:rsid w:val="000777D5"/>
    <w:rsid w:val="00077BC3"/>
    <w:rsid w:val="00077CE2"/>
    <w:rsid w:val="000812CA"/>
    <w:rsid w:val="00081FEE"/>
    <w:rsid w:val="00084D90"/>
    <w:rsid w:val="0008556E"/>
    <w:rsid w:val="00085DAC"/>
    <w:rsid w:val="00090CE1"/>
    <w:rsid w:val="00091BB9"/>
    <w:rsid w:val="0009283B"/>
    <w:rsid w:val="00092928"/>
    <w:rsid w:val="000951D2"/>
    <w:rsid w:val="000A1312"/>
    <w:rsid w:val="000A14AF"/>
    <w:rsid w:val="000A20A4"/>
    <w:rsid w:val="000A2711"/>
    <w:rsid w:val="000A3966"/>
    <w:rsid w:val="000A5ABD"/>
    <w:rsid w:val="000A7039"/>
    <w:rsid w:val="000B0293"/>
    <w:rsid w:val="000B0B94"/>
    <w:rsid w:val="000B0F96"/>
    <w:rsid w:val="000B1915"/>
    <w:rsid w:val="000B1953"/>
    <w:rsid w:val="000B2A34"/>
    <w:rsid w:val="000B64DB"/>
    <w:rsid w:val="000B6E6A"/>
    <w:rsid w:val="000C0726"/>
    <w:rsid w:val="000C0775"/>
    <w:rsid w:val="000C0DED"/>
    <w:rsid w:val="000C2BEE"/>
    <w:rsid w:val="000C3E1E"/>
    <w:rsid w:val="000D0B3C"/>
    <w:rsid w:val="000D0E93"/>
    <w:rsid w:val="000D2BDF"/>
    <w:rsid w:val="000D4DA9"/>
    <w:rsid w:val="000D678C"/>
    <w:rsid w:val="000D7CF0"/>
    <w:rsid w:val="000E193D"/>
    <w:rsid w:val="000E3150"/>
    <w:rsid w:val="000E4E21"/>
    <w:rsid w:val="000E51A2"/>
    <w:rsid w:val="000E5B38"/>
    <w:rsid w:val="000F1150"/>
    <w:rsid w:val="000F4D94"/>
    <w:rsid w:val="000F675F"/>
    <w:rsid w:val="001009B4"/>
    <w:rsid w:val="001018C2"/>
    <w:rsid w:val="00101E87"/>
    <w:rsid w:val="0010261D"/>
    <w:rsid w:val="00103215"/>
    <w:rsid w:val="001038DB"/>
    <w:rsid w:val="00103A92"/>
    <w:rsid w:val="00104227"/>
    <w:rsid w:val="001049EE"/>
    <w:rsid w:val="00107E1E"/>
    <w:rsid w:val="00111CA0"/>
    <w:rsid w:val="001146B5"/>
    <w:rsid w:val="00114D85"/>
    <w:rsid w:val="00114F8C"/>
    <w:rsid w:val="00116D0F"/>
    <w:rsid w:val="00117AD7"/>
    <w:rsid w:val="0012361B"/>
    <w:rsid w:val="00123FE5"/>
    <w:rsid w:val="00123FEA"/>
    <w:rsid w:val="00124714"/>
    <w:rsid w:val="0012524D"/>
    <w:rsid w:val="00127CAE"/>
    <w:rsid w:val="00134686"/>
    <w:rsid w:val="001361E4"/>
    <w:rsid w:val="00137CC4"/>
    <w:rsid w:val="001411BF"/>
    <w:rsid w:val="001445DB"/>
    <w:rsid w:val="00145894"/>
    <w:rsid w:val="001471D4"/>
    <w:rsid w:val="0015044E"/>
    <w:rsid w:val="00150876"/>
    <w:rsid w:val="00152CED"/>
    <w:rsid w:val="00154AE2"/>
    <w:rsid w:val="00154C91"/>
    <w:rsid w:val="00155527"/>
    <w:rsid w:val="0015720C"/>
    <w:rsid w:val="00161E38"/>
    <w:rsid w:val="00162232"/>
    <w:rsid w:val="0016231C"/>
    <w:rsid w:val="0016620F"/>
    <w:rsid w:val="0016635D"/>
    <w:rsid w:val="00167CBA"/>
    <w:rsid w:val="00167ED1"/>
    <w:rsid w:val="0017039C"/>
    <w:rsid w:val="0017181E"/>
    <w:rsid w:val="001741AD"/>
    <w:rsid w:val="00174579"/>
    <w:rsid w:val="00174734"/>
    <w:rsid w:val="0017765D"/>
    <w:rsid w:val="00182D3B"/>
    <w:rsid w:val="00182D88"/>
    <w:rsid w:val="00186EB6"/>
    <w:rsid w:val="00187372"/>
    <w:rsid w:val="001906AB"/>
    <w:rsid w:val="00190B1A"/>
    <w:rsid w:val="00192990"/>
    <w:rsid w:val="00192B9A"/>
    <w:rsid w:val="00193508"/>
    <w:rsid w:val="00194BF1"/>
    <w:rsid w:val="00195E37"/>
    <w:rsid w:val="00196D3D"/>
    <w:rsid w:val="001976B2"/>
    <w:rsid w:val="001A19F6"/>
    <w:rsid w:val="001A58BC"/>
    <w:rsid w:val="001B6F4A"/>
    <w:rsid w:val="001B71AF"/>
    <w:rsid w:val="001B7D3A"/>
    <w:rsid w:val="001C2EDC"/>
    <w:rsid w:val="001C33DB"/>
    <w:rsid w:val="001C360F"/>
    <w:rsid w:val="001C5221"/>
    <w:rsid w:val="001C54C3"/>
    <w:rsid w:val="001C6336"/>
    <w:rsid w:val="001C6F57"/>
    <w:rsid w:val="001C7110"/>
    <w:rsid w:val="001D2E86"/>
    <w:rsid w:val="001D4316"/>
    <w:rsid w:val="001D6D1A"/>
    <w:rsid w:val="001D7039"/>
    <w:rsid w:val="001E0724"/>
    <w:rsid w:val="001E0B45"/>
    <w:rsid w:val="001E1C1E"/>
    <w:rsid w:val="001E1EBD"/>
    <w:rsid w:val="001E206C"/>
    <w:rsid w:val="001E2599"/>
    <w:rsid w:val="001E2E56"/>
    <w:rsid w:val="001E3A40"/>
    <w:rsid w:val="001E4BAF"/>
    <w:rsid w:val="001F21E8"/>
    <w:rsid w:val="001F511B"/>
    <w:rsid w:val="001F536F"/>
    <w:rsid w:val="001F7919"/>
    <w:rsid w:val="00201070"/>
    <w:rsid w:val="002037AF"/>
    <w:rsid w:val="002053C2"/>
    <w:rsid w:val="00205891"/>
    <w:rsid w:val="00206F9F"/>
    <w:rsid w:val="002113DD"/>
    <w:rsid w:val="00214E57"/>
    <w:rsid w:val="00215B0C"/>
    <w:rsid w:val="00215EB6"/>
    <w:rsid w:val="00215F89"/>
    <w:rsid w:val="00216353"/>
    <w:rsid w:val="00224E7A"/>
    <w:rsid w:val="00225187"/>
    <w:rsid w:val="00225D85"/>
    <w:rsid w:val="00226FF7"/>
    <w:rsid w:val="00230C81"/>
    <w:rsid w:val="0023133E"/>
    <w:rsid w:val="002329F7"/>
    <w:rsid w:val="00232BAC"/>
    <w:rsid w:val="002338E7"/>
    <w:rsid w:val="00236BD7"/>
    <w:rsid w:val="00236DF3"/>
    <w:rsid w:val="002403E1"/>
    <w:rsid w:val="0024201B"/>
    <w:rsid w:val="00242759"/>
    <w:rsid w:val="00245810"/>
    <w:rsid w:val="002467EF"/>
    <w:rsid w:val="0024751A"/>
    <w:rsid w:val="002475AB"/>
    <w:rsid w:val="00251F07"/>
    <w:rsid w:val="00252C81"/>
    <w:rsid w:val="00253CEE"/>
    <w:rsid w:val="002552A2"/>
    <w:rsid w:val="00255D89"/>
    <w:rsid w:val="002564ED"/>
    <w:rsid w:val="00257FCA"/>
    <w:rsid w:val="002613F1"/>
    <w:rsid w:val="00261E1E"/>
    <w:rsid w:val="002639D8"/>
    <w:rsid w:val="002664BB"/>
    <w:rsid w:val="00270228"/>
    <w:rsid w:val="00270AC8"/>
    <w:rsid w:val="00272754"/>
    <w:rsid w:val="00273028"/>
    <w:rsid w:val="00274C19"/>
    <w:rsid w:val="0028052B"/>
    <w:rsid w:val="00281E47"/>
    <w:rsid w:val="00285BB5"/>
    <w:rsid w:val="002A32E2"/>
    <w:rsid w:val="002A6A21"/>
    <w:rsid w:val="002B084E"/>
    <w:rsid w:val="002B2920"/>
    <w:rsid w:val="002B327F"/>
    <w:rsid w:val="002B6F0D"/>
    <w:rsid w:val="002B78D5"/>
    <w:rsid w:val="002B7C03"/>
    <w:rsid w:val="002C0506"/>
    <w:rsid w:val="002C1060"/>
    <w:rsid w:val="002C2EF3"/>
    <w:rsid w:val="002C3C00"/>
    <w:rsid w:val="002C3CE5"/>
    <w:rsid w:val="002C5329"/>
    <w:rsid w:val="002C55DF"/>
    <w:rsid w:val="002C57DF"/>
    <w:rsid w:val="002C6F45"/>
    <w:rsid w:val="002D1F66"/>
    <w:rsid w:val="002D3D11"/>
    <w:rsid w:val="002D4F1F"/>
    <w:rsid w:val="002D64F8"/>
    <w:rsid w:val="002E04BF"/>
    <w:rsid w:val="002E1342"/>
    <w:rsid w:val="002E4C61"/>
    <w:rsid w:val="002E5DBA"/>
    <w:rsid w:val="002E7246"/>
    <w:rsid w:val="002E77D7"/>
    <w:rsid w:val="002E7F6D"/>
    <w:rsid w:val="002F0E6A"/>
    <w:rsid w:val="002F101B"/>
    <w:rsid w:val="002F3249"/>
    <w:rsid w:val="002F5694"/>
    <w:rsid w:val="002F65C4"/>
    <w:rsid w:val="002F69A6"/>
    <w:rsid w:val="002F78B6"/>
    <w:rsid w:val="0030074A"/>
    <w:rsid w:val="00302A27"/>
    <w:rsid w:val="00302C88"/>
    <w:rsid w:val="00302FD1"/>
    <w:rsid w:val="00304B1E"/>
    <w:rsid w:val="00306165"/>
    <w:rsid w:val="003066D5"/>
    <w:rsid w:val="00310550"/>
    <w:rsid w:val="00310697"/>
    <w:rsid w:val="003107BB"/>
    <w:rsid w:val="00311CF8"/>
    <w:rsid w:val="0031340F"/>
    <w:rsid w:val="00313610"/>
    <w:rsid w:val="00314574"/>
    <w:rsid w:val="00316072"/>
    <w:rsid w:val="0031650E"/>
    <w:rsid w:val="0031739A"/>
    <w:rsid w:val="0032045B"/>
    <w:rsid w:val="00322E51"/>
    <w:rsid w:val="00324D1E"/>
    <w:rsid w:val="003268C7"/>
    <w:rsid w:val="00330583"/>
    <w:rsid w:val="00330BF2"/>
    <w:rsid w:val="00330D20"/>
    <w:rsid w:val="00330DC4"/>
    <w:rsid w:val="00331CBF"/>
    <w:rsid w:val="00332339"/>
    <w:rsid w:val="003328C4"/>
    <w:rsid w:val="003331A6"/>
    <w:rsid w:val="00336568"/>
    <w:rsid w:val="00340489"/>
    <w:rsid w:val="0034169D"/>
    <w:rsid w:val="00341760"/>
    <w:rsid w:val="00341C0B"/>
    <w:rsid w:val="00341C77"/>
    <w:rsid w:val="0034565D"/>
    <w:rsid w:val="00345C6E"/>
    <w:rsid w:val="00346186"/>
    <w:rsid w:val="003508B8"/>
    <w:rsid w:val="00352318"/>
    <w:rsid w:val="00357177"/>
    <w:rsid w:val="003619E1"/>
    <w:rsid w:val="00363D2E"/>
    <w:rsid w:val="00365D81"/>
    <w:rsid w:val="0037064E"/>
    <w:rsid w:val="00370C3B"/>
    <w:rsid w:val="00374172"/>
    <w:rsid w:val="003742E6"/>
    <w:rsid w:val="00374A2B"/>
    <w:rsid w:val="0038004E"/>
    <w:rsid w:val="003820DC"/>
    <w:rsid w:val="00384479"/>
    <w:rsid w:val="00386183"/>
    <w:rsid w:val="0038637D"/>
    <w:rsid w:val="003871A9"/>
    <w:rsid w:val="00387C5B"/>
    <w:rsid w:val="00391495"/>
    <w:rsid w:val="00393FF7"/>
    <w:rsid w:val="0039471C"/>
    <w:rsid w:val="00394AD4"/>
    <w:rsid w:val="0039540A"/>
    <w:rsid w:val="00397BB0"/>
    <w:rsid w:val="00397F08"/>
    <w:rsid w:val="003A008B"/>
    <w:rsid w:val="003A0F94"/>
    <w:rsid w:val="003A4F95"/>
    <w:rsid w:val="003A6420"/>
    <w:rsid w:val="003A6523"/>
    <w:rsid w:val="003A68CA"/>
    <w:rsid w:val="003B1756"/>
    <w:rsid w:val="003B1B09"/>
    <w:rsid w:val="003B2423"/>
    <w:rsid w:val="003B341B"/>
    <w:rsid w:val="003B4D31"/>
    <w:rsid w:val="003B5B99"/>
    <w:rsid w:val="003B6DF7"/>
    <w:rsid w:val="003B7339"/>
    <w:rsid w:val="003B79D2"/>
    <w:rsid w:val="003C02CA"/>
    <w:rsid w:val="003C0775"/>
    <w:rsid w:val="003C1FE6"/>
    <w:rsid w:val="003C2612"/>
    <w:rsid w:val="003C2D6E"/>
    <w:rsid w:val="003C5A54"/>
    <w:rsid w:val="003C5D74"/>
    <w:rsid w:val="003C6CD2"/>
    <w:rsid w:val="003D0648"/>
    <w:rsid w:val="003D0D55"/>
    <w:rsid w:val="003D1729"/>
    <w:rsid w:val="003D1D30"/>
    <w:rsid w:val="003D2BD0"/>
    <w:rsid w:val="003D4307"/>
    <w:rsid w:val="003D6ECD"/>
    <w:rsid w:val="003D73E9"/>
    <w:rsid w:val="003D7CD4"/>
    <w:rsid w:val="003E0FD7"/>
    <w:rsid w:val="003E320D"/>
    <w:rsid w:val="003E424A"/>
    <w:rsid w:val="003E521C"/>
    <w:rsid w:val="003E6A45"/>
    <w:rsid w:val="003E6C16"/>
    <w:rsid w:val="003F14B0"/>
    <w:rsid w:val="003F1C2B"/>
    <w:rsid w:val="003F269F"/>
    <w:rsid w:val="003F586C"/>
    <w:rsid w:val="00400AF3"/>
    <w:rsid w:val="0040243F"/>
    <w:rsid w:val="004079B3"/>
    <w:rsid w:val="0041027D"/>
    <w:rsid w:val="004130CE"/>
    <w:rsid w:val="00415BA7"/>
    <w:rsid w:val="00420668"/>
    <w:rsid w:val="004214AC"/>
    <w:rsid w:val="00421CAC"/>
    <w:rsid w:val="00421D76"/>
    <w:rsid w:val="00421E56"/>
    <w:rsid w:val="004236EE"/>
    <w:rsid w:val="00423ACF"/>
    <w:rsid w:val="004251AB"/>
    <w:rsid w:val="00425ECF"/>
    <w:rsid w:val="00426A00"/>
    <w:rsid w:val="0042720E"/>
    <w:rsid w:val="00427AEB"/>
    <w:rsid w:val="00427F21"/>
    <w:rsid w:val="0043654E"/>
    <w:rsid w:val="0043668C"/>
    <w:rsid w:val="00437E6E"/>
    <w:rsid w:val="00440458"/>
    <w:rsid w:val="00440FF1"/>
    <w:rsid w:val="00443B94"/>
    <w:rsid w:val="00444BFA"/>
    <w:rsid w:val="00444CD2"/>
    <w:rsid w:val="00446D10"/>
    <w:rsid w:val="00450D56"/>
    <w:rsid w:val="00452F27"/>
    <w:rsid w:val="00453600"/>
    <w:rsid w:val="00454D9E"/>
    <w:rsid w:val="00455823"/>
    <w:rsid w:val="0045659B"/>
    <w:rsid w:val="00460488"/>
    <w:rsid w:val="00461725"/>
    <w:rsid w:val="004618F1"/>
    <w:rsid w:val="004632D7"/>
    <w:rsid w:val="00463A7B"/>
    <w:rsid w:val="00465F38"/>
    <w:rsid w:val="00467010"/>
    <w:rsid w:val="0047237C"/>
    <w:rsid w:val="00473B86"/>
    <w:rsid w:val="00474CEF"/>
    <w:rsid w:val="00476A26"/>
    <w:rsid w:val="004779EC"/>
    <w:rsid w:val="00480492"/>
    <w:rsid w:val="00480512"/>
    <w:rsid w:val="004807AA"/>
    <w:rsid w:val="00480BC2"/>
    <w:rsid w:val="004818F9"/>
    <w:rsid w:val="0048230A"/>
    <w:rsid w:val="00482901"/>
    <w:rsid w:val="0048323A"/>
    <w:rsid w:val="004842F4"/>
    <w:rsid w:val="00486137"/>
    <w:rsid w:val="0048773D"/>
    <w:rsid w:val="0049202F"/>
    <w:rsid w:val="00492BE0"/>
    <w:rsid w:val="004947DC"/>
    <w:rsid w:val="00495EEF"/>
    <w:rsid w:val="00495FE7"/>
    <w:rsid w:val="00496507"/>
    <w:rsid w:val="004A2A61"/>
    <w:rsid w:val="004A324F"/>
    <w:rsid w:val="004A7E9E"/>
    <w:rsid w:val="004B04E0"/>
    <w:rsid w:val="004B0E04"/>
    <w:rsid w:val="004B123C"/>
    <w:rsid w:val="004B19EF"/>
    <w:rsid w:val="004B300B"/>
    <w:rsid w:val="004B4DA4"/>
    <w:rsid w:val="004B5BF8"/>
    <w:rsid w:val="004B79E0"/>
    <w:rsid w:val="004B7C2E"/>
    <w:rsid w:val="004C03F9"/>
    <w:rsid w:val="004C36F4"/>
    <w:rsid w:val="004C48BD"/>
    <w:rsid w:val="004C53DB"/>
    <w:rsid w:val="004D0552"/>
    <w:rsid w:val="004D0CDD"/>
    <w:rsid w:val="004D0DB0"/>
    <w:rsid w:val="004D19DB"/>
    <w:rsid w:val="004D1AF2"/>
    <w:rsid w:val="004D2049"/>
    <w:rsid w:val="004D223D"/>
    <w:rsid w:val="004D2F0D"/>
    <w:rsid w:val="004D366D"/>
    <w:rsid w:val="004D40DD"/>
    <w:rsid w:val="004D4ABB"/>
    <w:rsid w:val="004D5260"/>
    <w:rsid w:val="004E0041"/>
    <w:rsid w:val="004E293C"/>
    <w:rsid w:val="004E5C80"/>
    <w:rsid w:val="004E5CFC"/>
    <w:rsid w:val="004E5E11"/>
    <w:rsid w:val="004E6D8F"/>
    <w:rsid w:val="004E72B7"/>
    <w:rsid w:val="004F23D0"/>
    <w:rsid w:val="004F2ED6"/>
    <w:rsid w:val="004F4044"/>
    <w:rsid w:val="004F4E8E"/>
    <w:rsid w:val="004F6AD0"/>
    <w:rsid w:val="004F7CB6"/>
    <w:rsid w:val="00500544"/>
    <w:rsid w:val="005006EA"/>
    <w:rsid w:val="005048E9"/>
    <w:rsid w:val="0051045B"/>
    <w:rsid w:val="0051067B"/>
    <w:rsid w:val="00510E5F"/>
    <w:rsid w:val="005114E7"/>
    <w:rsid w:val="00514C45"/>
    <w:rsid w:val="00516871"/>
    <w:rsid w:val="00517E61"/>
    <w:rsid w:val="00521BB8"/>
    <w:rsid w:val="0052205B"/>
    <w:rsid w:val="0052267F"/>
    <w:rsid w:val="0052306B"/>
    <w:rsid w:val="0052335F"/>
    <w:rsid w:val="00523FFC"/>
    <w:rsid w:val="00527B65"/>
    <w:rsid w:val="00533CCA"/>
    <w:rsid w:val="00533E81"/>
    <w:rsid w:val="005348EE"/>
    <w:rsid w:val="0053495B"/>
    <w:rsid w:val="00537D2C"/>
    <w:rsid w:val="005426AB"/>
    <w:rsid w:val="0054713D"/>
    <w:rsid w:val="005478D8"/>
    <w:rsid w:val="00547977"/>
    <w:rsid w:val="00551493"/>
    <w:rsid w:val="005537B6"/>
    <w:rsid w:val="00553C2D"/>
    <w:rsid w:val="005541CA"/>
    <w:rsid w:val="00556094"/>
    <w:rsid w:val="005561A3"/>
    <w:rsid w:val="00557109"/>
    <w:rsid w:val="00557A9C"/>
    <w:rsid w:val="00557DE5"/>
    <w:rsid w:val="00562359"/>
    <w:rsid w:val="00562504"/>
    <w:rsid w:val="00562882"/>
    <w:rsid w:val="0056517B"/>
    <w:rsid w:val="00565371"/>
    <w:rsid w:val="00567127"/>
    <w:rsid w:val="0056742D"/>
    <w:rsid w:val="00567817"/>
    <w:rsid w:val="0057021E"/>
    <w:rsid w:val="005718E0"/>
    <w:rsid w:val="0057248B"/>
    <w:rsid w:val="0057385D"/>
    <w:rsid w:val="005746D4"/>
    <w:rsid w:val="00577CB5"/>
    <w:rsid w:val="00587011"/>
    <w:rsid w:val="0059131F"/>
    <w:rsid w:val="00591F20"/>
    <w:rsid w:val="0059222A"/>
    <w:rsid w:val="0059496C"/>
    <w:rsid w:val="005A5358"/>
    <w:rsid w:val="005A6CE0"/>
    <w:rsid w:val="005A7483"/>
    <w:rsid w:val="005B13BC"/>
    <w:rsid w:val="005B28FA"/>
    <w:rsid w:val="005B2AC2"/>
    <w:rsid w:val="005B3A10"/>
    <w:rsid w:val="005B43B4"/>
    <w:rsid w:val="005B6BC6"/>
    <w:rsid w:val="005C1784"/>
    <w:rsid w:val="005C6C86"/>
    <w:rsid w:val="005D1CD1"/>
    <w:rsid w:val="005D3405"/>
    <w:rsid w:val="005D75B5"/>
    <w:rsid w:val="005E0AC7"/>
    <w:rsid w:val="005E12B5"/>
    <w:rsid w:val="005E21A1"/>
    <w:rsid w:val="005E4625"/>
    <w:rsid w:val="005E4D81"/>
    <w:rsid w:val="005E6049"/>
    <w:rsid w:val="005E6C3F"/>
    <w:rsid w:val="005E7A64"/>
    <w:rsid w:val="005F0DA1"/>
    <w:rsid w:val="005F1236"/>
    <w:rsid w:val="006007A8"/>
    <w:rsid w:val="006048D0"/>
    <w:rsid w:val="00604F54"/>
    <w:rsid w:val="0060541F"/>
    <w:rsid w:val="00606165"/>
    <w:rsid w:val="0060636A"/>
    <w:rsid w:val="006068E7"/>
    <w:rsid w:val="006108AD"/>
    <w:rsid w:val="0061159F"/>
    <w:rsid w:val="0061182F"/>
    <w:rsid w:val="00615EAB"/>
    <w:rsid w:val="0061703A"/>
    <w:rsid w:val="00617112"/>
    <w:rsid w:val="006174EC"/>
    <w:rsid w:val="0062036D"/>
    <w:rsid w:val="00621E95"/>
    <w:rsid w:val="00622A08"/>
    <w:rsid w:val="00624A4C"/>
    <w:rsid w:val="00625ABE"/>
    <w:rsid w:val="006271E2"/>
    <w:rsid w:val="006345EC"/>
    <w:rsid w:val="0063706D"/>
    <w:rsid w:val="0064035A"/>
    <w:rsid w:val="00642C59"/>
    <w:rsid w:val="0064437C"/>
    <w:rsid w:val="0064569C"/>
    <w:rsid w:val="00647843"/>
    <w:rsid w:val="006478B5"/>
    <w:rsid w:val="00647FF1"/>
    <w:rsid w:val="00653208"/>
    <w:rsid w:val="006532D6"/>
    <w:rsid w:val="00654177"/>
    <w:rsid w:val="00654CC3"/>
    <w:rsid w:val="00661C3E"/>
    <w:rsid w:val="00661CD5"/>
    <w:rsid w:val="00663997"/>
    <w:rsid w:val="00664323"/>
    <w:rsid w:val="0066499A"/>
    <w:rsid w:val="006658E7"/>
    <w:rsid w:val="00665B1B"/>
    <w:rsid w:val="00667A2F"/>
    <w:rsid w:val="00675AC0"/>
    <w:rsid w:val="00681151"/>
    <w:rsid w:val="00682CF7"/>
    <w:rsid w:val="00685913"/>
    <w:rsid w:val="00685EC1"/>
    <w:rsid w:val="00686C55"/>
    <w:rsid w:val="00690E00"/>
    <w:rsid w:val="0069580F"/>
    <w:rsid w:val="006968C2"/>
    <w:rsid w:val="006A1979"/>
    <w:rsid w:val="006A1FD9"/>
    <w:rsid w:val="006A254E"/>
    <w:rsid w:val="006A2AEA"/>
    <w:rsid w:val="006A3FF8"/>
    <w:rsid w:val="006A69C6"/>
    <w:rsid w:val="006B2534"/>
    <w:rsid w:val="006B270D"/>
    <w:rsid w:val="006B2EDC"/>
    <w:rsid w:val="006B33AD"/>
    <w:rsid w:val="006B743E"/>
    <w:rsid w:val="006C185F"/>
    <w:rsid w:val="006C30E4"/>
    <w:rsid w:val="006C3BDD"/>
    <w:rsid w:val="006C41C4"/>
    <w:rsid w:val="006C5268"/>
    <w:rsid w:val="006C7A0B"/>
    <w:rsid w:val="006D0DCC"/>
    <w:rsid w:val="006D2B11"/>
    <w:rsid w:val="006D49BD"/>
    <w:rsid w:val="006D4F82"/>
    <w:rsid w:val="006D6591"/>
    <w:rsid w:val="006D7D5F"/>
    <w:rsid w:val="006E08DE"/>
    <w:rsid w:val="006E16B5"/>
    <w:rsid w:val="006E1F92"/>
    <w:rsid w:val="006E2109"/>
    <w:rsid w:val="006E2795"/>
    <w:rsid w:val="006E32C4"/>
    <w:rsid w:val="006E4819"/>
    <w:rsid w:val="006E6B49"/>
    <w:rsid w:val="006E76F5"/>
    <w:rsid w:val="006F08F1"/>
    <w:rsid w:val="006F18A3"/>
    <w:rsid w:val="006F23E3"/>
    <w:rsid w:val="006F299F"/>
    <w:rsid w:val="006F3059"/>
    <w:rsid w:val="006F3C00"/>
    <w:rsid w:val="006F3E82"/>
    <w:rsid w:val="006F6209"/>
    <w:rsid w:val="0070011B"/>
    <w:rsid w:val="00701069"/>
    <w:rsid w:val="00701F68"/>
    <w:rsid w:val="007023A0"/>
    <w:rsid w:val="0070241E"/>
    <w:rsid w:val="00704A82"/>
    <w:rsid w:val="007113E8"/>
    <w:rsid w:val="00711834"/>
    <w:rsid w:val="00712948"/>
    <w:rsid w:val="00714467"/>
    <w:rsid w:val="007172A5"/>
    <w:rsid w:val="007203AD"/>
    <w:rsid w:val="00721E72"/>
    <w:rsid w:val="00722B24"/>
    <w:rsid w:val="00724608"/>
    <w:rsid w:val="0072726E"/>
    <w:rsid w:val="00727FE0"/>
    <w:rsid w:val="00730D82"/>
    <w:rsid w:val="00730FDF"/>
    <w:rsid w:val="0073318C"/>
    <w:rsid w:val="007334F4"/>
    <w:rsid w:val="00736B73"/>
    <w:rsid w:val="00740E48"/>
    <w:rsid w:val="0074249F"/>
    <w:rsid w:val="007426CF"/>
    <w:rsid w:val="007427D0"/>
    <w:rsid w:val="00750C7A"/>
    <w:rsid w:val="00750DD2"/>
    <w:rsid w:val="007516DC"/>
    <w:rsid w:val="0075179A"/>
    <w:rsid w:val="007525CC"/>
    <w:rsid w:val="007549C5"/>
    <w:rsid w:val="007572E4"/>
    <w:rsid w:val="00760C33"/>
    <w:rsid w:val="00761438"/>
    <w:rsid w:val="00762624"/>
    <w:rsid w:val="007627F4"/>
    <w:rsid w:val="00762F4E"/>
    <w:rsid w:val="00763447"/>
    <w:rsid w:val="0076346A"/>
    <w:rsid w:val="00764F70"/>
    <w:rsid w:val="00764FBE"/>
    <w:rsid w:val="00766CF5"/>
    <w:rsid w:val="00767685"/>
    <w:rsid w:val="007706C7"/>
    <w:rsid w:val="00770767"/>
    <w:rsid w:val="007708AB"/>
    <w:rsid w:val="00773452"/>
    <w:rsid w:val="007739C9"/>
    <w:rsid w:val="00776345"/>
    <w:rsid w:val="0077738C"/>
    <w:rsid w:val="00777A34"/>
    <w:rsid w:val="00783241"/>
    <w:rsid w:val="0079121D"/>
    <w:rsid w:val="007916AC"/>
    <w:rsid w:val="00791925"/>
    <w:rsid w:val="00791F60"/>
    <w:rsid w:val="0079373D"/>
    <w:rsid w:val="007966BE"/>
    <w:rsid w:val="0079764E"/>
    <w:rsid w:val="0079780F"/>
    <w:rsid w:val="007A0E8D"/>
    <w:rsid w:val="007A553B"/>
    <w:rsid w:val="007A6BEF"/>
    <w:rsid w:val="007B0342"/>
    <w:rsid w:val="007B07A2"/>
    <w:rsid w:val="007B3729"/>
    <w:rsid w:val="007B67DD"/>
    <w:rsid w:val="007D0094"/>
    <w:rsid w:val="007D0AA4"/>
    <w:rsid w:val="007D2CA6"/>
    <w:rsid w:val="007D3E87"/>
    <w:rsid w:val="007E04EA"/>
    <w:rsid w:val="007E2208"/>
    <w:rsid w:val="007E38F1"/>
    <w:rsid w:val="007E3BBF"/>
    <w:rsid w:val="007E3E06"/>
    <w:rsid w:val="007E4280"/>
    <w:rsid w:val="007F3A56"/>
    <w:rsid w:val="007F43CB"/>
    <w:rsid w:val="007F4B9E"/>
    <w:rsid w:val="00801B56"/>
    <w:rsid w:val="0080288D"/>
    <w:rsid w:val="00805786"/>
    <w:rsid w:val="00806AB6"/>
    <w:rsid w:val="008072CB"/>
    <w:rsid w:val="008123E1"/>
    <w:rsid w:val="00816BC2"/>
    <w:rsid w:val="00816D47"/>
    <w:rsid w:val="00817437"/>
    <w:rsid w:val="00821185"/>
    <w:rsid w:val="00821F9A"/>
    <w:rsid w:val="0082218E"/>
    <w:rsid w:val="00822EF1"/>
    <w:rsid w:val="00826C77"/>
    <w:rsid w:val="00827DF4"/>
    <w:rsid w:val="00832404"/>
    <w:rsid w:val="00832431"/>
    <w:rsid w:val="00832941"/>
    <w:rsid w:val="0083557C"/>
    <w:rsid w:val="008361CC"/>
    <w:rsid w:val="00840795"/>
    <w:rsid w:val="008425C5"/>
    <w:rsid w:val="00842728"/>
    <w:rsid w:val="00842BFF"/>
    <w:rsid w:val="00842F4C"/>
    <w:rsid w:val="00843C85"/>
    <w:rsid w:val="00845413"/>
    <w:rsid w:val="00846D2D"/>
    <w:rsid w:val="00847728"/>
    <w:rsid w:val="00852EAD"/>
    <w:rsid w:val="008546E5"/>
    <w:rsid w:val="008568B0"/>
    <w:rsid w:val="00856B4A"/>
    <w:rsid w:val="00857FEA"/>
    <w:rsid w:val="00861B79"/>
    <w:rsid w:val="0086272A"/>
    <w:rsid w:val="00863FD4"/>
    <w:rsid w:val="00864B13"/>
    <w:rsid w:val="008659F5"/>
    <w:rsid w:val="008705B9"/>
    <w:rsid w:val="00871C14"/>
    <w:rsid w:val="00873AC8"/>
    <w:rsid w:val="008748B6"/>
    <w:rsid w:val="0087661B"/>
    <w:rsid w:val="00877239"/>
    <w:rsid w:val="0088374F"/>
    <w:rsid w:val="00886716"/>
    <w:rsid w:val="00886C94"/>
    <w:rsid w:val="00887BCC"/>
    <w:rsid w:val="00887C6E"/>
    <w:rsid w:val="00890BD1"/>
    <w:rsid w:val="00892662"/>
    <w:rsid w:val="00897DE3"/>
    <w:rsid w:val="008A00A7"/>
    <w:rsid w:val="008A128D"/>
    <w:rsid w:val="008A1DDB"/>
    <w:rsid w:val="008A5557"/>
    <w:rsid w:val="008A72D0"/>
    <w:rsid w:val="008A7325"/>
    <w:rsid w:val="008A7558"/>
    <w:rsid w:val="008B16F5"/>
    <w:rsid w:val="008B37DC"/>
    <w:rsid w:val="008B3BAC"/>
    <w:rsid w:val="008B412E"/>
    <w:rsid w:val="008B52D4"/>
    <w:rsid w:val="008B59BF"/>
    <w:rsid w:val="008B7138"/>
    <w:rsid w:val="008B7F39"/>
    <w:rsid w:val="008C0BAF"/>
    <w:rsid w:val="008C1A93"/>
    <w:rsid w:val="008C1CD1"/>
    <w:rsid w:val="008C6492"/>
    <w:rsid w:val="008C6F4A"/>
    <w:rsid w:val="008C752B"/>
    <w:rsid w:val="008D1B89"/>
    <w:rsid w:val="008D23C0"/>
    <w:rsid w:val="008D270A"/>
    <w:rsid w:val="008D3D22"/>
    <w:rsid w:val="008D3E4A"/>
    <w:rsid w:val="008D554B"/>
    <w:rsid w:val="008D7D71"/>
    <w:rsid w:val="008E04BB"/>
    <w:rsid w:val="008E1BCF"/>
    <w:rsid w:val="008E50CC"/>
    <w:rsid w:val="008E5822"/>
    <w:rsid w:val="008E6FEB"/>
    <w:rsid w:val="008F0032"/>
    <w:rsid w:val="008F16B2"/>
    <w:rsid w:val="008F6083"/>
    <w:rsid w:val="008F6903"/>
    <w:rsid w:val="00903485"/>
    <w:rsid w:val="00904B08"/>
    <w:rsid w:val="00905F29"/>
    <w:rsid w:val="0091080D"/>
    <w:rsid w:val="0091164C"/>
    <w:rsid w:val="009127C5"/>
    <w:rsid w:val="00912D63"/>
    <w:rsid w:val="009152E1"/>
    <w:rsid w:val="00915D66"/>
    <w:rsid w:val="00915DE1"/>
    <w:rsid w:val="00916731"/>
    <w:rsid w:val="00920C80"/>
    <w:rsid w:val="00921716"/>
    <w:rsid w:val="00922385"/>
    <w:rsid w:val="00922C86"/>
    <w:rsid w:val="00924C0F"/>
    <w:rsid w:val="00925876"/>
    <w:rsid w:val="009279AD"/>
    <w:rsid w:val="009308C8"/>
    <w:rsid w:val="00932A12"/>
    <w:rsid w:val="009345C3"/>
    <w:rsid w:val="00934715"/>
    <w:rsid w:val="00934C22"/>
    <w:rsid w:val="00936B9D"/>
    <w:rsid w:val="00937CE4"/>
    <w:rsid w:val="00940496"/>
    <w:rsid w:val="00940A07"/>
    <w:rsid w:val="009414DF"/>
    <w:rsid w:val="00941820"/>
    <w:rsid w:val="00941900"/>
    <w:rsid w:val="00942775"/>
    <w:rsid w:val="00942782"/>
    <w:rsid w:val="00942C56"/>
    <w:rsid w:val="00943480"/>
    <w:rsid w:val="00943E6E"/>
    <w:rsid w:val="00947965"/>
    <w:rsid w:val="009503FE"/>
    <w:rsid w:val="00951EBC"/>
    <w:rsid w:val="0095674A"/>
    <w:rsid w:val="00960DF3"/>
    <w:rsid w:val="0096112C"/>
    <w:rsid w:val="009613C1"/>
    <w:rsid w:val="00963EB2"/>
    <w:rsid w:val="00964505"/>
    <w:rsid w:val="00964CC1"/>
    <w:rsid w:val="00964DB3"/>
    <w:rsid w:val="009704E1"/>
    <w:rsid w:val="00973654"/>
    <w:rsid w:val="00974CC2"/>
    <w:rsid w:val="0097660A"/>
    <w:rsid w:val="0097731A"/>
    <w:rsid w:val="00980080"/>
    <w:rsid w:val="009836AB"/>
    <w:rsid w:val="00984186"/>
    <w:rsid w:val="009841A9"/>
    <w:rsid w:val="00984F08"/>
    <w:rsid w:val="0098589A"/>
    <w:rsid w:val="00985E9A"/>
    <w:rsid w:val="0098649E"/>
    <w:rsid w:val="009874C6"/>
    <w:rsid w:val="009908A1"/>
    <w:rsid w:val="00994620"/>
    <w:rsid w:val="0099470B"/>
    <w:rsid w:val="00994AAD"/>
    <w:rsid w:val="00994E67"/>
    <w:rsid w:val="0099740C"/>
    <w:rsid w:val="00997C2A"/>
    <w:rsid w:val="009A0FE9"/>
    <w:rsid w:val="009A121E"/>
    <w:rsid w:val="009A1DA3"/>
    <w:rsid w:val="009A4865"/>
    <w:rsid w:val="009A5078"/>
    <w:rsid w:val="009A56DD"/>
    <w:rsid w:val="009A58A3"/>
    <w:rsid w:val="009A59FC"/>
    <w:rsid w:val="009A7BA4"/>
    <w:rsid w:val="009B02FE"/>
    <w:rsid w:val="009B0B75"/>
    <w:rsid w:val="009B0F44"/>
    <w:rsid w:val="009B1CA2"/>
    <w:rsid w:val="009B6C32"/>
    <w:rsid w:val="009B7188"/>
    <w:rsid w:val="009C0DAB"/>
    <w:rsid w:val="009C1868"/>
    <w:rsid w:val="009C2034"/>
    <w:rsid w:val="009C2B1A"/>
    <w:rsid w:val="009C4547"/>
    <w:rsid w:val="009C45E4"/>
    <w:rsid w:val="009C474D"/>
    <w:rsid w:val="009C4AF8"/>
    <w:rsid w:val="009C6CC4"/>
    <w:rsid w:val="009D082D"/>
    <w:rsid w:val="009D0F2B"/>
    <w:rsid w:val="009D27B5"/>
    <w:rsid w:val="009D2D95"/>
    <w:rsid w:val="009D4027"/>
    <w:rsid w:val="009D4652"/>
    <w:rsid w:val="009D46A9"/>
    <w:rsid w:val="009D6881"/>
    <w:rsid w:val="009D7430"/>
    <w:rsid w:val="009E0245"/>
    <w:rsid w:val="009E1EAB"/>
    <w:rsid w:val="009E38D2"/>
    <w:rsid w:val="009E5948"/>
    <w:rsid w:val="009F2B17"/>
    <w:rsid w:val="009F2D55"/>
    <w:rsid w:val="009F3F0C"/>
    <w:rsid w:val="009F6675"/>
    <w:rsid w:val="009F6796"/>
    <w:rsid w:val="009F78B6"/>
    <w:rsid w:val="009F7AA6"/>
    <w:rsid w:val="00A01584"/>
    <w:rsid w:val="00A01857"/>
    <w:rsid w:val="00A01F8F"/>
    <w:rsid w:val="00A02187"/>
    <w:rsid w:val="00A021C7"/>
    <w:rsid w:val="00A03A76"/>
    <w:rsid w:val="00A04EDF"/>
    <w:rsid w:val="00A077D5"/>
    <w:rsid w:val="00A12159"/>
    <w:rsid w:val="00A1255C"/>
    <w:rsid w:val="00A13122"/>
    <w:rsid w:val="00A14BAC"/>
    <w:rsid w:val="00A15B53"/>
    <w:rsid w:val="00A15E88"/>
    <w:rsid w:val="00A163DF"/>
    <w:rsid w:val="00A20F01"/>
    <w:rsid w:val="00A2132D"/>
    <w:rsid w:val="00A21518"/>
    <w:rsid w:val="00A21BA7"/>
    <w:rsid w:val="00A225D4"/>
    <w:rsid w:val="00A233E7"/>
    <w:rsid w:val="00A2503D"/>
    <w:rsid w:val="00A25CFD"/>
    <w:rsid w:val="00A265F5"/>
    <w:rsid w:val="00A3593E"/>
    <w:rsid w:val="00A37D3F"/>
    <w:rsid w:val="00A40DDF"/>
    <w:rsid w:val="00A42F21"/>
    <w:rsid w:val="00A44AB7"/>
    <w:rsid w:val="00A47057"/>
    <w:rsid w:val="00A5149A"/>
    <w:rsid w:val="00A54934"/>
    <w:rsid w:val="00A55F40"/>
    <w:rsid w:val="00A5692B"/>
    <w:rsid w:val="00A60F2F"/>
    <w:rsid w:val="00A63247"/>
    <w:rsid w:val="00A63B50"/>
    <w:rsid w:val="00A66D43"/>
    <w:rsid w:val="00A67679"/>
    <w:rsid w:val="00A7069D"/>
    <w:rsid w:val="00A72CA6"/>
    <w:rsid w:val="00A73486"/>
    <w:rsid w:val="00A73CD6"/>
    <w:rsid w:val="00A74471"/>
    <w:rsid w:val="00A763E7"/>
    <w:rsid w:val="00A77F09"/>
    <w:rsid w:val="00A81012"/>
    <w:rsid w:val="00A815FC"/>
    <w:rsid w:val="00A82FA2"/>
    <w:rsid w:val="00A84AD9"/>
    <w:rsid w:val="00A85418"/>
    <w:rsid w:val="00A90A10"/>
    <w:rsid w:val="00A90A9C"/>
    <w:rsid w:val="00A917BD"/>
    <w:rsid w:val="00A95289"/>
    <w:rsid w:val="00A960B5"/>
    <w:rsid w:val="00A97055"/>
    <w:rsid w:val="00AA2499"/>
    <w:rsid w:val="00AA2C8B"/>
    <w:rsid w:val="00AA42A6"/>
    <w:rsid w:val="00AB1AE9"/>
    <w:rsid w:val="00AB2652"/>
    <w:rsid w:val="00AB267A"/>
    <w:rsid w:val="00AB2D85"/>
    <w:rsid w:val="00AB2FF1"/>
    <w:rsid w:val="00AB6401"/>
    <w:rsid w:val="00AB68DC"/>
    <w:rsid w:val="00AB7471"/>
    <w:rsid w:val="00AC07C4"/>
    <w:rsid w:val="00AC0A27"/>
    <w:rsid w:val="00AC16AB"/>
    <w:rsid w:val="00AC3BD3"/>
    <w:rsid w:val="00AC4EF5"/>
    <w:rsid w:val="00AC7B6C"/>
    <w:rsid w:val="00AD0C67"/>
    <w:rsid w:val="00AD1525"/>
    <w:rsid w:val="00AD2779"/>
    <w:rsid w:val="00AD3AA7"/>
    <w:rsid w:val="00AD5C55"/>
    <w:rsid w:val="00AD671E"/>
    <w:rsid w:val="00AD7058"/>
    <w:rsid w:val="00AE0910"/>
    <w:rsid w:val="00AE18F1"/>
    <w:rsid w:val="00AE2CDD"/>
    <w:rsid w:val="00AE4A57"/>
    <w:rsid w:val="00AE629B"/>
    <w:rsid w:val="00AE6918"/>
    <w:rsid w:val="00AE7AD0"/>
    <w:rsid w:val="00AF14BF"/>
    <w:rsid w:val="00AF31DB"/>
    <w:rsid w:val="00AF34C2"/>
    <w:rsid w:val="00AF66FF"/>
    <w:rsid w:val="00AF6D32"/>
    <w:rsid w:val="00B0365F"/>
    <w:rsid w:val="00B04E82"/>
    <w:rsid w:val="00B07160"/>
    <w:rsid w:val="00B11F86"/>
    <w:rsid w:val="00B13E51"/>
    <w:rsid w:val="00B158FC"/>
    <w:rsid w:val="00B17D05"/>
    <w:rsid w:val="00B212B8"/>
    <w:rsid w:val="00B239D1"/>
    <w:rsid w:val="00B25781"/>
    <w:rsid w:val="00B25A7D"/>
    <w:rsid w:val="00B25ADF"/>
    <w:rsid w:val="00B309E8"/>
    <w:rsid w:val="00B31921"/>
    <w:rsid w:val="00B32F4D"/>
    <w:rsid w:val="00B33078"/>
    <w:rsid w:val="00B3348B"/>
    <w:rsid w:val="00B35DAE"/>
    <w:rsid w:val="00B365C9"/>
    <w:rsid w:val="00B3744E"/>
    <w:rsid w:val="00B37C18"/>
    <w:rsid w:val="00B4033F"/>
    <w:rsid w:val="00B40842"/>
    <w:rsid w:val="00B40DBB"/>
    <w:rsid w:val="00B425C4"/>
    <w:rsid w:val="00B43216"/>
    <w:rsid w:val="00B44269"/>
    <w:rsid w:val="00B44EE9"/>
    <w:rsid w:val="00B46255"/>
    <w:rsid w:val="00B4648B"/>
    <w:rsid w:val="00B470C6"/>
    <w:rsid w:val="00B515E2"/>
    <w:rsid w:val="00B54911"/>
    <w:rsid w:val="00B55CC5"/>
    <w:rsid w:val="00B64A2D"/>
    <w:rsid w:val="00B6769E"/>
    <w:rsid w:val="00B67D0B"/>
    <w:rsid w:val="00B7069F"/>
    <w:rsid w:val="00B72BCC"/>
    <w:rsid w:val="00B760E5"/>
    <w:rsid w:val="00B76EFA"/>
    <w:rsid w:val="00B80805"/>
    <w:rsid w:val="00B81470"/>
    <w:rsid w:val="00B8170A"/>
    <w:rsid w:val="00B81AF4"/>
    <w:rsid w:val="00B86250"/>
    <w:rsid w:val="00B86384"/>
    <w:rsid w:val="00B902F9"/>
    <w:rsid w:val="00B95432"/>
    <w:rsid w:val="00B95B53"/>
    <w:rsid w:val="00B97E82"/>
    <w:rsid w:val="00BA0954"/>
    <w:rsid w:val="00BA465B"/>
    <w:rsid w:val="00BA5F0D"/>
    <w:rsid w:val="00BA6B73"/>
    <w:rsid w:val="00BB0B23"/>
    <w:rsid w:val="00BB2121"/>
    <w:rsid w:val="00BB2818"/>
    <w:rsid w:val="00BB286D"/>
    <w:rsid w:val="00BB2DD9"/>
    <w:rsid w:val="00BB3B0F"/>
    <w:rsid w:val="00BB4107"/>
    <w:rsid w:val="00BB55EE"/>
    <w:rsid w:val="00BB57D0"/>
    <w:rsid w:val="00BB7830"/>
    <w:rsid w:val="00BC1C47"/>
    <w:rsid w:val="00BC276F"/>
    <w:rsid w:val="00BC3C33"/>
    <w:rsid w:val="00BC5346"/>
    <w:rsid w:val="00BC5483"/>
    <w:rsid w:val="00BC6935"/>
    <w:rsid w:val="00BD004E"/>
    <w:rsid w:val="00BD0572"/>
    <w:rsid w:val="00BD1C36"/>
    <w:rsid w:val="00BD1F1F"/>
    <w:rsid w:val="00BD7E59"/>
    <w:rsid w:val="00BD7E82"/>
    <w:rsid w:val="00BE57B2"/>
    <w:rsid w:val="00BF6636"/>
    <w:rsid w:val="00BF71E6"/>
    <w:rsid w:val="00C0051E"/>
    <w:rsid w:val="00C07D84"/>
    <w:rsid w:val="00C139D3"/>
    <w:rsid w:val="00C142F3"/>
    <w:rsid w:val="00C14383"/>
    <w:rsid w:val="00C16CBD"/>
    <w:rsid w:val="00C17EDE"/>
    <w:rsid w:val="00C20344"/>
    <w:rsid w:val="00C214D1"/>
    <w:rsid w:val="00C224D6"/>
    <w:rsid w:val="00C32565"/>
    <w:rsid w:val="00C344BE"/>
    <w:rsid w:val="00C3472D"/>
    <w:rsid w:val="00C34F20"/>
    <w:rsid w:val="00C352E6"/>
    <w:rsid w:val="00C36356"/>
    <w:rsid w:val="00C3748F"/>
    <w:rsid w:val="00C40E86"/>
    <w:rsid w:val="00C435F4"/>
    <w:rsid w:val="00C44B90"/>
    <w:rsid w:val="00C4646F"/>
    <w:rsid w:val="00C54484"/>
    <w:rsid w:val="00C56FF9"/>
    <w:rsid w:val="00C5703D"/>
    <w:rsid w:val="00C612F2"/>
    <w:rsid w:val="00C631D7"/>
    <w:rsid w:val="00C6493A"/>
    <w:rsid w:val="00C660C6"/>
    <w:rsid w:val="00C67B41"/>
    <w:rsid w:val="00C70C29"/>
    <w:rsid w:val="00C733FA"/>
    <w:rsid w:val="00C73A4B"/>
    <w:rsid w:val="00C740D3"/>
    <w:rsid w:val="00C74D90"/>
    <w:rsid w:val="00C75035"/>
    <w:rsid w:val="00C75468"/>
    <w:rsid w:val="00C76396"/>
    <w:rsid w:val="00C77243"/>
    <w:rsid w:val="00C77F73"/>
    <w:rsid w:val="00C81B40"/>
    <w:rsid w:val="00C83443"/>
    <w:rsid w:val="00C876C9"/>
    <w:rsid w:val="00C9112C"/>
    <w:rsid w:val="00C9198C"/>
    <w:rsid w:val="00C921AF"/>
    <w:rsid w:val="00C92C56"/>
    <w:rsid w:val="00C9435A"/>
    <w:rsid w:val="00C94991"/>
    <w:rsid w:val="00C96A5F"/>
    <w:rsid w:val="00C97165"/>
    <w:rsid w:val="00C97F8F"/>
    <w:rsid w:val="00CA0A76"/>
    <w:rsid w:val="00CA116F"/>
    <w:rsid w:val="00CA3A3D"/>
    <w:rsid w:val="00CA42CF"/>
    <w:rsid w:val="00CA63B3"/>
    <w:rsid w:val="00CB2E49"/>
    <w:rsid w:val="00CB3175"/>
    <w:rsid w:val="00CB31BE"/>
    <w:rsid w:val="00CC0193"/>
    <w:rsid w:val="00CC03E6"/>
    <w:rsid w:val="00CC08C8"/>
    <w:rsid w:val="00CC1296"/>
    <w:rsid w:val="00CC6A71"/>
    <w:rsid w:val="00CC77E9"/>
    <w:rsid w:val="00CD00FD"/>
    <w:rsid w:val="00CD097F"/>
    <w:rsid w:val="00CD2A0B"/>
    <w:rsid w:val="00CD4BB8"/>
    <w:rsid w:val="00CD5B0B"/>
    <w:rsid w:val="00CD5DD3"/>
    <w:rsid w:val="00CD630F"/>
    <w:rsid w:val="00CE004B"/>
    <w:rsid w:val="00CE057C"/>
    <w:rsid w:val="00CE0B58"/>
    <w:rsid w:val="00CE1F6F"/>
    <w:rsid w:val="00CE2E11"/>
    <w:rsid w:val="00CE76B4"/>
    <w:rsid w:val="00CF0580"/>
    <w:rsid w:val="00CF07C6"/>
    <w:rsid w:val="00CF098F"/>
    <w:rsid w:val="00CF227C"/>
    <w:rsid w:val="00CF292E"/>
    <w:rsid w:val="00CF5471"/>
    <w:rsid w:val="00CF623D"/>
    <w:rsid w:val="00CF62C1"/>
    <w:rsid w:val="00CF6DD6"/>
    <w:rsid w:val="00CF7A7D"/>
    <w:rsid w:val="00D00B37"/>
    <w:rsid w:val="00D04CA3"/>
    <w:rsid w:val="00D058DD"/>
    <w:rsid w:val="00D10513"/>
    <w:rsid w:val="00D1093C"/>
    <w:rsid w:val="00D11AA3"/>
    <w:rsid w:val="00D20011"/>
    <w:rsid w:val="00D24878"/>
    <w:rsid w:val="00D2570D"/>
    <w:rsid w:val="00D25989"/>
    <w:rsid w:val="00D26B65"/>
    <w:rsid w:val="00D277A3"/>
    <w:rsid w:val="00D27958"/>
    <w:rsid w:val="00D27BBD"/>
    <w:rsid w:val="00D27E10"/>
    <w:rsid w:val="00D31336"/>
    <w:rsid w:val="00D334E6"/>
    <w:rsid w:val="00D33FEF"/>
    <w:rsid w:val="00D34664"/>
    <w:rsid w:val="00D37746"/>
    <w:rsid w:val="00D408FC"/>
    <w:rsid w:val="00D41855"/>
    <w:rsid w:val="00D4191A"/>
    <w:rsid w:val="00D41E52"/>
    <w:rsid w:val="00D42D51"/>
    <w:rsid w:val="00D44711"/>
    <w:rsid w:val="00D44E9A"/>
    <w:rsid w:val="00D46CD5"/>
    <w:rsid w:val="00D47582"/>
    <w:rsid w:val="00D4780D"/>
    <w:rsid w:val="00D50A88"/>
    <w:rsid w:val="00D527D4"/>
    <w:rsid w:val="00D52B4D"/>
    <w:rsid w:val="00D531C5"/>
    <w:rsid w:val="00D55257"/>
    <w:rsid w:val="00D55F47"/>
    <w:rsid w:val="00D56C02"/>
    <w:rsid w:val="00D60405"/>
    <w:rsid w:val="00D60B88"/>
    <w:rsid w:val="00D67336"/>
    <w:rsid w:val="00D72530"/>
    <w:rsid w:val="00D73FAC"/>
    <w:rsid w:val="00D74522"/>
    <w:rsid w:val="00D77365"/>
    <w:rsid w:val="00D77DC2"/>
    <w:rsid w:val="00D80EF0"/>
    <w:rsid w:val="00D827D0"/>
    <w:rsid w:val="00D8291F"/>
    <w:rsid w:val="00D8509C"/>
    <w:rsid w:val="00D87ABA"/>
    <w:rsid w:val="00D912CF"/>
    <w:rsid w:val="00D93663"/>
    <w:rsid w:val="00D93DBF"/>
    <w:rsid w:val="00D959D1"/>
    <w:rsid w:val="00D975E0"/>
    <w:rsid w:val="00D97E87"/>
    <w:rsid w:val="00DA2195"/>
    <w:rsid w:val="00DA4C65"/>
    <w:rsid w:val="00DA511D"/>
    <w:rsid w:val="00DB14A6"/>
    <w:rsid w:val="00DB167C"/>
    <w:rsid w:val="00DB41EC"/>
    <w:rsid w:val="00DB6DD1"/>
    <w:rsid w:val="00DB78D0"/>
    <w:rsid w:val="00DC071E"/>
    <w:rsid w:val="00DC1C0B"/>
    <w:rsid w:val="00DC218F"/>
    <w:rsid w:val="00DC55C9"/>
    <w:rsid w:val="00DC5FB7"/>
    <w:rsid w:val="00DC72BE"/>
    <w:rsid w:val="00DC75B7"/>
    <w:rsid w:val="00DC7748"/>
    <w:rsid w:val="00DD050A"/>
    <w:rsid w:val="00DD09C0"/>
    <w:rsid w:val="00DD0E91"/>
    <w:rsid w:val="00DD286D"/>
    <w:rsid w:val="00DD2BC9"/>
    <w:rsid w:val="00DD2F7A"/>
    <w:rsid w:val="00DD457B"/>
    <w:rsid w:val="00DD4914"/>
    <w:rsid w:val="00DD4B78"/>
    <w:rsid w:val="00DD4F57"/>
    <w:rsid w:val="00DD6B30"/>
    <w:rsid w:val="00DD726B"/>
    <w:rsid w:val="00DD7A7A"/>
    <w:rsid w:val="00DE0AF8"/>
    <w:rsid w:val="00DE0E17"/>
    <w:rsid w:val="00DE3127"/>
    <w:rsid w:val="00DE3B61"/>
    <w:rsid w:val="00DE5B86"/>
    <w:rsid w:val="00DE63BD"/>
    <w:rsid w:val="00DE707F"/>
    <w:rsid w:val="00DF010E"/>
    <w:rsid w:val="00DF16DB"/>
    <w:rsid w:val="00DF198C"/>
    <w:rsid w:val="00DF2AFB"/>
    <w:rsid w:val="00DF4731"/>
    <w:rsid w:val="00DF7052"/>
    <w:rsid w:val="00DF7293"/>
    <w:rsid w:val="00E01728"/>
    <w:rsid w:val="00E031B4"/>
    <w:rsid w:val="00E04DBD"/>
    <w:rsid w:val="00E07D5E"/>
    <w:rsid w:val="00E10FAB"/>
    <w:rsid w:val="00E14682"/>
    <w:rsid w:val="00E14907"/>
    <w:rsid w:val="00E15ABD"/>
    <w:rsid w:val="00E15D07"/>
    <w:rsid w:val="00E16629"/>
    <w:rsid w:val="00E17352"/>
    <w:rsid w:val="00E17E0A"/>
    <w:rsid w:val="00E20E52"/>
    <w:rsid w:val="00E226C5"/>
    <w:rsid w:val="00E22AA3"/>
    <w:rsid w:val="00E2695B"/>
    <w:rsid w:val="00E27805"/>
    <w:rsid w:val="00E316E4"/>
    <w:rsid w:val="00E32031"/>
    <w:rsid w:val="00E3587F"/>
    <w:rsid w:val="00E358AC"/>
    <w:rsid w:val="00E40B71"/>
    <w:rsid w:val="00E41962"/>
    <w:rsid w:val="00E4333D"/>
    <w:rsid w:val="00E445BB"/>
    <w:rsid w:val="00E44901"/>
    <w:rsid w:val="00E44D5E"/>
    <w:rsid w:val="00E45372"/>
    <w:rsid w:val="00E468DD"/>
    <w:rsid w:val="00E50894"/>
    <w:rsid w:val="00E5151F"/>
    <w:rsid w:val="00E54E66"/>
    <w:rsid w:val="00E610B4"/>
    <w:rsid w:val="00E61A2F"/>
    <w:rsid w:val="00E61EB6"/>
    <w:rsid w:val="00E621CF"/>
    <w:rsid w:val="00E631C2"/>
    <w:rsid w:val="00E65CC2"/>
    <w:rsid w:val="00E6731E"/>
    <w:rsid w:val="00E70321"/>
    <w:rsid w:val="00E70CEE"/>
    <w:rsid w:val="00E72CE2"/>
    <w:rsid w:val="00E73EEA"/>
    <w:rsid w:val="00E75B19"/>
    <w:rsid w:val="00E75B55"/>
    <w:rsid w:val="00E856C8"/>
    <w:rsid w:val="00E86437"/>
    <w:rsid w:val="00E87D9B"/>
    <w:rsid w:val="00E901AE"/>
    <w:rsid w:val="00E9163A"/>
    <w:rsid w:val="00E93737"/>
    <w:rsid w:val="00E950CD"/>
    <w:rsid w:val="00EA1D23"/>
    <w:rsid w:val="00EA2DD2"/>
    <w:rsid w:val="00EA594A"/>
    <w:rsid w:val="00EA6D7F"/>
    <w:rsid w:val="00EA75B6"/>
    <w:rsid w:val="00EA760B"/>
    <w:rsid w:val="00EA77E6"/>
    <w:rsid w:val="00EB029B"/>
    <w:rsid w:val="00EB10D1"/>
    <w:rsid w:val="00EB12C9"/>
    <w:rsid w:val="00EB13BF"/>
    <w:rsid w:val="00EB14D2"/>
    <w:rsid w:val="00EB27D6"/>
    <w:rsid w:val="00EB5331"/>
    <w:rsid w:val="00EB7326"/>
    <w:rsid w:val="00EC1F25"/>
    <w:rsid w:val="00EC42A6"/>
    <w:rsid w:val="00EC443D"/>
    <w:rsid w:val="00EC7082"/>
    <w:rsid w:val="00ED10E4"/>
    <w:rsid w:val="00ED188B"/>
    <w:rsid w:val="00ED2477"/>
    <w:rsid w:val="00ED27F7"/>
    <w:rsid w:val="00ED438D"/>
    <w:rsid w:val="00EE0356"/>
    <w:rsid w:val="00EE06F3"/>
    <w:rsid w:val="00EE4602"/>
    <w:rsid w:val="00EE6CB1"/>
    <w:rsid w:val="00EE77B7"/>
    <w:rsid w:val="00EF0DBF"/>
    <w:rsid w:val="00EF15BA"/>
    <w:rsid w:val="00EF1CCC"/>
    <w:rsid w:val="00EF1E01"/>
    <w:rsid w:val="00EF6FDF"/>
    <w:rsid w:val="00EF76C1"/>
    <w:rsid w:val="00F02068"/>
    <w:rsid w:val="00F02C37"/>
    <w:rsid w:val="00F02E7E"/>
    <w:rsid w:val="00F03647"/>
    <w:rsid w:val="00F036A1"/>
    <w:rsid w:val="00F03A72"/>
    <w:rsid w:val="00F063B8"/>
    <w:rsid w:val="00F07CA5"/>
    <w:rsid w:val="00F10BD0"/>
    <w:rsid w:val="00F116ED"/>
    <w:rsid w:val="00F1186C"/>
    <w:rsid w:val="00F132E6"/>
    <w:rsid w:val="00F13703"/>
    <w:rsid w:val="00F1411D"/>
    <w:rsid w:val="00F1466A"/>
    <w:rsid w:val="00F171C3"/>
    <w:rsid w:val="00F17CEE"/>
    <w:rsid w:val="00F21E67"/>
    <w:rsid w:val="00F22221"/>
    <w:rsid w:val="00F26F5A"/>
    <w:rsid w:val="00F3135A"/>
    <w:rsid w:val="00F31E8F"/>
    <w:rsid w:val="00F34DD9"/>
    <w:rsid w:val="00F37C41"/>
    <w:rsid w:val="00F40DA3"/>
    <w:rsid w:val="00F422EE"/>
    <w:rsid w:val="00F4279F"/>
    <w:rsid w:val="00F42F91"/>
    <w:rsid w:val="00F438D7"/>
    <w:rsid w:val="00F454B4"/>
    <w:rsid w:val="00F45C00"/>
    <w:rsid w:val="00F47F87"/>
    <w:rsid w:val="00F532E5"/>
    <w:rsid w:val="00F54C6B"/>
    <w:rsid w:val="00F562F7"/>
    <w:rsid w:val="00F578EA"/>
    <w:rsid w:val="00F65488"/>
    <w:rsid w:val="00F70176"/>
    <w:rsid w:val="00F706DA"/>
    <w:rsid w:val="00F72177"/>
    <w:rsid w:val="00F72C08"/>
    <w:rsid w:val="00F80DC8"/>
    <w:rsid w:val="00F84019"/>
    <w:rsid w:val="00F911F6"/>
    <w:rsid w:val="00F92831"/>
    <w:rsid w:val="00F93C72"/>
    <w:rsid w:val="00F953BF"/>
    <w:rsid w:val="00F954B6"/>
    <w:rsid w:val="00FA03ED"/>
    <w:rsid w:val="00FA1384"/>
    <w:rsid w:val="00FA18B8"/>
    <w:rsid w:val="00FA37F5"/>
    <w:rsid w:val="00FA3C3C"/>
    <w:rsid w:val="00FA5476"/>
    <w:rsid w:val="00FB2BA1"/>
    <w:rsid w:val="00FB427B"/>
    <w:rsid w:val="00FB4EA9"/>
    <w:rsid w:val="00FC17B5"/>
    <w:rsid w:val="00FC4171"/>
    <w:rsid w:val="00FC4D0B"/>
    <w:rsid w:val="00FC6803"/>
    <w:rsid w:val="00FD16E5"/>
    <w:rsid w:val="00FD1B2E"/>
    <w:rsid w:val="00FD1B3C"/>
    <w:rsid w:val="00FD29E2"/>
    <w:rsid w:val="00FD3076"/>
    <w:rsid w:val="00FE16D9"/>
    <w:rsid w:val="00FE3368"/>
    <w:rsid w:val="00FE64B9"/>
    <w:rsid w:val="00FE6A6F"/>
    <w:rsid w:val="00FE756A"/>
    <w:rsid w:val="00FF0661"/>
    <w:rsid w:val="00FF0A92"/>
    <w:rsid w:val="00FF450F"/>
    <w:rsid w:val="31AF07F9"/>
    <w:rsid w:val="31C10D08"/>
    <w:rsid w:val="337004E6"/>
    <w:rsid w:val="37196C2A"/>
    <w:rsid w:val="451504D1"/>
    <w:rsid w:val="71C06E3D"/>
    <w:rsid w:val="7C642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keepNext/>
      <w:keepLines/>
      <w:spacing w:before="340" w:after="330" w:line="560" w:lineRule="exact"/>
      <w:ind w:firstLine="200" w:firstLineChars="200"/>
      <w:outlineLvl w:val="0"/>
    </w:pPr>
    <w:rPr>
      <w:rFonts w:eastAsia="黑体"/>
      <w:bCs/>
      <w:kern w:val="44"/>
      <w:sz w:val="32"/>
      <w:szCs w:val="44"/>
    </w:rPr>
  </w:style>
  <w:style w:type="paragraph" w:styleId="4">
    <w:name w:val="heading 2"/>
    <w:basedOn w:val="1"/>
    <w:next w:val="1"/>
    <w:link w:val="24"/>
    <w:unhideWhenUsed/>
    <w:qFormat/>
    <w:uiPriority w:val="9"/>
    <w:pPr>
      <w:keepNext/>
      <w:keepLines/>
      <w:numPr>
        <w:ilvl w:val="0"/>
        <w:numId w:val="1"/>
      </w:numPr>
      <w:spacing w:line="600" w:lineRule="exact"/>
      <w:outlineLvl w:val="1"/>
    </w:pPr>
    <w:rPr>
      <w:rFonts w:eastAsia="楷体" w:asciiTheme="majorHAnsi" w:hAnsiTheme="majorHAnsi" w:cstheme="majorBidi"/>
      <w:b/>
      <w:bCs/>
      <w:sz w:val="32"/>
      <w:szCs w:val="32"/>
    </w:rPr>
  </w:style>
  <w:style w:type="paragraph" w:styleId="5">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99"/>
    <w:pPr>
      <w:spacing w:beforeLines="50" w:line="300" w:lineRule="auto"/>
      <w:ind w:left="420" w:firstLine="200" w:firstLineChars="200"/>
    </w:pPr>
    <w:rPr>
      <w:rFonts w:ascii="Times New Roman" w:hAnsi="Times New Roman" w:eastAsia="仿宋_GB2312"/>
      <w:sz w:val="24"/>
      <w:szCs w:val="24"/>
    </w:rPr>
  </w:style>
  <w:style w:type="paragraph" w:styleId="6">
    <w:name w:val="annotation text"/>
    <w:basedOn w:val="1"/>
    <w:link w:val="29"/>
    <w:semiHidden/>
    <w:unhideWhenUsed/>
    <w:qFormat/>
    <w:uiPriority w:val="99"/>
    <w:pPr>
      <w:jc w:val="left"/>
    </w:pPr>
  </w:style>
  <w:style w:type="paragraph" w:styleId="7">
    <w:name w:val="Body Text Indent"/>
    <w:basedOn w:val="1"/>
    <w:link w:val="36"/>
    <w:semiHidden/>
    <w:unhideWhenUsed/>
    <w:qFormat/>
    <w:uiPriority w:val="99"/>
    <w:pPr>
      <w:spacing w:after="120"/>
      <w:ind w:left="420" w:leftChars="200"/>
    </w:pPr>
  </w:style>
  <w:style w:type="paragraph" w:styleId="8">
    <w:name w:val="Balloon Text"/>
    <w:basedOn w:val="1"/>
    <w:link w:val="28"/>
    <w:semiHidden/>
    <w:unhideWhenUsed/>
    <w:uiPriority w:val="99"/>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840"/>
        <w:tab w:val="right" w:leader="dot" w:pos="8296"/>
      </w:tabs>
    </w:pPr>
  </w:style>
  <w:style w:type="paragraph" w:styleId="12">
    <w:name w:val="toc 2"/>
    <w:basedOn w:val="1"/>
    <w:next w:val="1"/>
    <w:unhideWhenUsed/>
    <w:qFormat/>
    <w:uiPriority w:val="39"/>
    <w:pPr>
      <w:tabs>
        <w:tab w:val="left" w:pos="1470"/>
        <w:tab w:val="right" w:leader="dot" w:pos="8296"/>
      </w:tabs>
      <w:ind w:left="420" w:leftChars="200"/>
    </w:pPr>
  </w:style>
  <w:style w:type="paragraph" w:styleId="13">
    <w:name w:val="annotation subject"/>
    <w:basedOn w:val="6"/>
    <w:next w:val="6"/>
    <w:link w:val="30"/>
    <w:semiHidden/>
    <w:unhideWhenUsed/>
    <w:qFormat/>
    <w:uiPriority w:val="99"/>
    <w:rPr>
      <w:b/>
      <w:bCs/>
    </w:rPr>
  </w:style>
  <w:style w:type="paragraph" w:styleId="14">
    <w:name w:val="Body Text First Indent 2"/>
    <w:basedOn w:val="7"/>
    <w:link w:val="37"/>
    <w:unhideWhenUsed/>
    <w:qFormat/>
    <w:uiPriority w:val="99"/>
    <w:pPr>
      <w:ind w:firstLine="420" w:firstLineChars="200"/>
    </w:pPr>
    <w:rPr>
      <w:rFonts w:ascii="Times New Roman" w:hAnsi="Times New Roman" w:eastAsia="宋体" w:cs="Times New Roman"/>
      <w:szCs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页眉 Char"/>
    <w:basedOn w:val="17"/>
    <w:link w:val="10"/>
    <w:qFormat/>
    <w:uiPriority w:val="99"/>
    <w:rPr>
      <w:sz w:val="18"/>
      <w:szCs w:val="18"/>
    </w:rPr>
  </w:style>
  <w:style w:type="character" w:customStyle="1" w:styleId="21">
    <w:name w:val="页脚 Char"/>
    <w:basedOn w:val="17"/>
    <w:link w:val="9"/>
    <w:qFormat/>
    <w:uiPriority w:val="99"/>
    <w:rPr>
      <w:sz w:val="18"/>
      <w:szCs w:val="18"/>
    </w:rPr>
  </w:style>
  <w:style w:type="paragraph" w:customStyle="1" w:styleId="22">
    <w:name w:val="MSG_EN_FONT_STYLE_NAME_TEMPLATE_ROLE_NUMBER MSG_EN_FONT_STYLE_NAME_BY_ROLE_TEXT 3"/>
    <w:basedOn w:val="1"/>
    <w:link w:val="23"/>
    <w:qFormat/>
    <w:uiPriority w:val="99"/>
    <w:pPr>
      <w:shd w:val="clear" w:color="auto" w:fill="FFFFFF"/>
      <w:spacing w:line="1245" w:lineRule="exact"/>
      <w:jc w:val="center"/>
    </w:pPr>
    <w:rPr>
      <w:rFonts w:ascii="宋体" w:hAnsi="Times New Roman" w:eastAsia="宋体" w:cs="宋体"/>
      <w:kern w:val="0"/>
      <w:sz w:val="62"/>
      <w:szCs w:val="62"/>
    </w:rPr>
  </w:style>
  <w:style w:type="character" w:customStyle="1" w:styleId="23">
    <w:name w:val="MSG_EN_FONT_STYLE_NAME_TEMPLATE_ROLE_NUMBER MSG_EN_FONT_STYLE_NAME_BY_ROLE_TEXT 3_"/>
    <w:basedOn w:val="17"/>
    <w:link w:val="22"/>
    <w:qFormat/>
    <w:uiPriority w:val="99"/>
    <w:rPr>
      <w:rFonts w:ascii="宋体" w:hAnsi="Times New Roman" w:eastAsia="宋体" w:cs="宋体"/>
      <w:kern w:val="0"/>
      <w:sz w:val="62"/>
      <w:szCs w:val="62"/>
      <w:shd w:val="clear" w:color="auto" w:fill="FFFFFF"/>
    </w:rPr>
  </w:style>
  <w:style w:type="character" w:customStyle="1" w:styleId="24">
    <w:name w:val="标题 2 Char"/>
    <w:basedOn w:val="17"/>
    <w:link w:val="4"/>
    <w:qFormat/>
    <w:uiPriority w:val="9"/>
    <w:rPr>
      <w:rFonts w:eastAsia="楷体" w:asciiTheme="majorHAnsi" w:hAnsiTheme="majorHAnsi" w:cstheme="majorBidi"/>
      <w:b/>
      <w:bCs/>
      <w:sz w:val="32"/>
      <w:szCs w:val="32"/>
    </w:rPr>
  </w:style>
  <w:style w:type="character" w:customStyle="1" w:styleId="25">
    <w:name w:val="标题 3 Char"/>
    <w:basedOn w:val="17"/>
    <w:link w:val="5"/>
    <w:qFormat/>
    <w:uiPriority w:val="99"/>
    <w:rPr>
      <w:b/>
      <w:bCs/>
      <w:sz w:val="32"/>
      <w:szCs w:val="32"/>
    </w:rPr>
  </w:style>
  <w:style w:type="paragraph" w:styleId="26">
    <w:name w:val="List Paragraph"/>
    <w:basedOn w:val="1"/>
    <w:qFormat/>
    <w:uiPriority w:val="34"/>
    <w:pPr>
      <w:ind w:firstLine="420" w:firstLineChars="200"/>
    </w:pPr>
  </w:style>
  <w:style w:type="character" w:customStyle="1" w:styleId="27">
    <w:name w:val="标题 1 Char"/>
    <w:basedOn w:val="17"/>
    <w:link w:val="3"/>
    <w:qFormat/>
    <w:uiPriority w:val="9"/>
    <w:rPr>
      <w:rFonts w:eastAsia="黑体"/>
      <w:bCs/>
      <w:kern w:val="44"/>
      <w:sz w:val="32"/>
      <w:szCs w:val="44"/>
    </w:rPr>
  </w:style>
  <w:style w:type="character" w:customStyle="1" w:styleId="28">
    <w:name w:val="批注框文本 Char"/>
    <w:basedOn w:val="17"/>
    <w:link w:val="8"/>
    <w:semiHidden/>
    <w:qFormat/>
    <w:uiPriority w:val="99"/>
    <w:rPr>
      <w:sz w:val="18"/>
      <w:szCs w:val="18"/>
    </w:rPr>
  </w:style>
  <w:style w:type="character" w:customStyle="1" w:styleId="29">
    <w:name w:val="批注文字 Char"/>
    <w:basedOn w:val="17"/>
    <w:link w:val="6"/>
    <w:semiHidden/>
    <w:qFormat/>
    <w:uiPriority w:val="99"/>
  </w:style>
  <w:style w:type="character" w:customStyle="1" w:styleId="30">
    <w:name w:val="批注主题 Char"/>
    <w:basedOn w:val="29"/>
    <w:link w:val="13"/>
    <w:semiHidden/>
    <w:qFormat/>
    <w:uiPriority w:val="99"/>
    <w:rPr>
      <w:b/>
      <w:bCs/>
    </w:rPr>
  </w:style>
  <w:style w:type="paragraph" w:customStyle="1" w:styleId="31">
    <w:name w:val="样式 首行缩进:  2 字符"/>
    <w:basedOn w:val="1"/>
    <w:qFormat/>
    <w:uiPriority w:val="0"/>
    <w:pPr>
      <w:ind w:firstLine="562" w:firstLineChars="200"/>
    </w:pPr>
    <w:rPr>
      <w:rFonts w:eastAsia="仿宋_GB2312" w:cs="宋体"/>
      <w:sz w:val="32"/>
      <w:szCs w:val="20"/>
    </w:rPr>
  </w:style>
  <w:style w:type="paragraph" w:customStyle="1" w:styleId="32">
    <w:name w:val="样式 四号 首行缩进:  2 字符"/>
    <w:basedOn w:val="1"/>
    <w:qFormat/>
    <w:uiPriority w:val="0"/>
    <w:pPr>
      <w:spacing w:line="600" w:lineRule="exact"/>
      <w:ind w:firstLine="200" w:firstLineChars="200"/>
    </w:pPr>
    <w:rPr>
      <w:rFonts w:eastAsia="仿宋_GB2312" w:cs="宋体"/>
      <w:sz w:val="32"/>
      <w:szCs w:val="20"/>
    </w:rPr>
  </w:style>
  <w:style w:type="paragraph" w:customStyle="1" w:styleId="33">
    <w:name w:val="样式 样式 首行缩进:  2 字符 + 首行缩进:  2 字符"/>
    <w:basedOn w:val="31"/>
    <w:qFormat/>
    <w:uiPriority w:val="0"/>
    <w:pPr>
      <w:spacing w:line="600" w:lineRule="exact"/>
      <w:ind w:firstLine="200"/>
    </w:p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5">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36">
    <w:name w:val="正文文本缩进 Char"/>
    <w:basedOn w:val="17"/>
    <w:link w:val="7"/>
    <w:semiHidden/>
    <w:qFormat/>
    <w:uiPriority w:val="99"/>
  </w:style>
  <w:style w:type="character" w:customStyle="1" w:styleId="37">
    <w:name w:val="正文首行缩进 2 Char"/>
    <w:basedOn w:val="36"/>
    <w:link w:val="14"/>
    <w:qFormat/>
    <w:uiPriority w:val="99"/>
    <w:rPr>
      <w:rFonts w:ascii="Times New Roman" w:hAnsi="Times New Roman" w:eastAsia="宋体" w:cs="Times New Roman"/>
      <w:szCs w:val="24"/>
    </w:rPr>
  </w:style>
  <w:style w:type="paragraph" w:customStyle="1" w:styleId="38">
    <w:name w:val="p0"/>
    <w:basedOn w:val="1"/>
    <w:qFormat/>
    <w:uiPriority w:val="0"/>
    <w:pPr>
      <w:widowControl/>
    </w:pPr>
    <w:rPr>
      <w:rFonts w:ascii="Calibri" w:hAnsi="Calibri" w:eastAsia="宋体" w:cs="Times New Roman"/>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9F89D-C255-49FD-9C93-A983383D5596}">
  <ds:schemaRefs/>
</ds:datastoreItem>
</file>

<file path=docProps/app.xml><?xml version="1.0" encoding="utf-8"?>
<Properties xmlns="http://schemas.openxmlformats.org/officeDocument/2006/extended-properties" xmlns:vt="http://schemas.openxmlformats.org/officeDocument/2006/docPropsVTypes">
  <Template>Normal.dotm</Template>
  <Pages>51</Pages>
  <Words>4582</Words>
  <Characters>26118</Characters>
  <Lines>217</Lines>
  <Paragraphs>61</Paragraphs>
  <TotalTime>2</TotalTime>
  <ScaleCrop>false</ScaleCrop>
  <LinksUpToDate>false</LinksUpToDate>
  <CharactersWithSpaces>30639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2021-05-18T03:47:00Z</dcterms:created>
  <dc:creator>a</dc:creator>
  <cp:lastModifiedBy>汤辉</cp:lastModifiedBy>
  <cp:lastPrinted>2021-05-13T07:21:00Z</cp:lastPrinted>
  <dcterms:modified xsi:type="dcterms:W3CDTF">2021-10-22T09:26:38Z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EBDA08652BD744838E5A9ACFE5B3F084</vt:lpwstr>
  </property>
</Properties>
</file>